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rFonts w:ascii="Tempora LGC Uni" w:hAnsi="Tempora LGC Uni" w:cs="Tempora LGC Uni"/>
          <w:b/>
          <w:bCs/>
          <w:sz w:val="20"/>
          <w:szCs w:val="20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Сообщение о существенном факте</w:t>
      </w:r>
      <w:r>
        <w:rPr>
          <w:rFonts w:ascii="Tempora LGC Uni" w:hAnsi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p>
      <w:pPr>
        <w:pStyle w:val="874"/>
        <w:jc w:val="center"/>
        <w:rPr>
          <w:rFonts w:ascii="Tempora LGC Uni" w:hAnsi="Tempora LGC Uni" w:cs="Tempora LGC Uni"/>
          <w:b/>
          <w:bCs/>
          <w:sz w:val="20"/>
          <w:szCs w:val="20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«О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 начисленных доходах по эмиссионным ценным бумагам эмитента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»</w:t>
      </w:r>
      <w:r>
        <w:rPr>
          <w:rFonts w:ascii="Tempora LGC Uni" w:hAnsi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p>
      <w:pPr>
        <w:pStyle w:val="874"/>
        <w:rPr>
          <w:rFonts w:ascii="Tempora LGC Uni" w:hAnsi="Tempora LGC Uni" w:cs="Tempora LGC Uni"/>
          <w:b/>
          <w:color w:val="000000"/>
          <w:sz w:val="20"/>
          <w:szCs w:val="20"/>
        </w:rPr>
      </w:pP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7"/>
        <w:gridCol w:w="5071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1" w:tooltip="https://www.ogk2.ru" w:history="1">
              <w:r>
                <w:rPr>
                  <w:rStyle w:val="856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856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856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://www.ogk2.ru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2" w:tooltip="https://www.e-disclosure.ru/portal/company.aspx?id=7234" w:history="1">
              <w:r>
                <w:rPr>
                  <w:rStyle w:val="856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856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856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528"/>
        </w:trPr>
        <w:tc>
          <w:tcPr>
            <w:shd w:val="clear" w:color="ffffff" w:fill="ffffff"/>
            <w:tcW w:w="527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1"/>
                <w:szCs w:val="21"/>
                <w:highlight w:val="white"/>
              </w:rPr>
            </w:r>
            <w:r>
              <w:rPr>
                <w:rFonts w:ascii="Tempora LGC Uni" w:hAnsi="Tempora LGC Uni" w:cs="Tempora LGC Uni"/>
                <w:sz w:val="21"/>
                <w:szCs w:val="21"/>
                <w:highlight w:val="white"/>
              </w:rPr>
            </w:r>
          </w:p>
        </w:tc>
        <w:tc>
          <w:tcPr>
            <w:shd w:val="clear" w:color="ffffff" w:fill="ffffff"/>
            <w:tcW w:w="5071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sz w:val="21"/>
                <w:szCs w:val="21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21.10.2025</w:t>
            </w:r>
            <w:r>
              <w:rPr>
                <w:rFonts w:ascii="Tempora LGC Uni" w:hAnsi="Tempora LGC Uni" w:cs="Tempora LGC Uni"/>
                <w:b/>
                <w:sz w:val="21"/>
                <w:szCs w:val="21"/>
                <w:highlight w:val="white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  <w:highlight w:val="white"/>
              </w:rPr>
            </w:r>
          </w:p>
        </w:tc>
      </w:tr>
    </w:tbl>
    <w:p>
      <w:pPr>
        <w:pStyle w:val="874"/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462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0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62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62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2.1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Идентификационные признаки ценных бумаг эмитента, по которым начислены (объявлены) доходы: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акции обыкновенные, государственный регистрационный 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;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2.2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Орган управления эмитента, принявший решение о выплате (об объявлении) дивидендов по акциям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внеочередное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Общее собрание акционеров</w:t>
            </w:r>
            <w:r>
              <w:rPr>
                <w:rFonts w:ascii="Tempora LGC Uni" w:hAnsi="Tempora LGC Uni" w:eastAsia="Tempora LGC Uni" w:cs="Tempora LGC Uni"/>
                <w:b/>
                <w:iCs/>
                <w:sz w:val="20"/>
                <w:szCs w:val="20"/>
              </w:rPr>
              <w:t xml:space="preserve"> ПАО «ОГК-2»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;</w:t>
            </w:r>
            <w:r>
              <w:rPr>
                <w:rFonts w:ascii="Tempora LGC Uni" w:hAnsi="Tempora LGC Uni" w:cs="Tempora LGC Uni"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Cs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2.3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Дата принятия решения о выплате (об объявлении) дивидендов по акциям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17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white"/>
              </w:rPr>
              <w:t xml:space="preserve">10.2025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Cs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2.4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Протокол внеочередного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бщего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собрания акционеров</w:t>
            </w:r>
            <w:r>
              <w:rPr>
                <w:rFonts w:ascii="Tempora LGC Uni" w:hAnsi="Tempora LGC Uni" w:eastAsia="Tempora LGC Uni" w:cs="Tempora LGC Uni"/>
                <w:b/>
                <w:iCs/>
                <w:sz w:val="20"/>
                <w:szCs w:val="20"/>
              </w:rPr>
              <w:t xml:space="preserve"> ПАО «ОГК-2»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white"/>
              </w:rPr>
              <w:t xml:space="preserve">21.10.2025 № 22;</w:t>
            </w:r>
            <w:r>
              <w:rPr>
                <w:rFonts w:ascii="Tempora LGC Uni" w:hAnsi="Tempora LGC Uni" w:cs="Tempora LGC Uni"/>
                <w:bCs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Cs/>
                <w:sz w:val="20"/>
                <w:szCs w:val="20"/>
                <w:highlight w:val="white"/>
              </w:rPr>
            </w:r>
          </w:p>
          <w:p>
            <w:pPr>
              <w:pStyle w:val="874"/>
              <w:ind w:hanging="114"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2.5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Отчетный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2024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год;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2.6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общий размер дивидендов, начисленных на акции эмитента определенной категории (типа):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8 147 456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pacing w:val="-4"/>
                <w:sz w:val="20"/>
                <w:szCs w:val="20"/>
              </w:rPr>
              <w:t xml:space="preserve">т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pacing w:val="-4"/>
                <w:sz w:val="20"/>
                <w:szCs w:val="20"/>
              </w:rPr>
              <w:t xml:space="preserve">ы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pacing w:val="-4"/>
                <w:sz w:val="20"/>
                <w:szCs w:val="20"/>
              </w:rPr>
              <w:t xml:space="preserve">ся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pacing w:val="-4"/>
                <w:sz w:val="20"/>
                <w:szCs w:val="20"/>
              </w:rPr>
              <w:t xml:space="preserve">ч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рублей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;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2.7.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размер дивиденда, начисленного на одну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обыкновенную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акцию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0,0598167018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руб.;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2.8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Форма выплаты доходов по ценным бумагам эмитента (денежные средства, иное имущество):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денежные средства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;</w:t>
            </w:r>
            <w:r>
              <w:rPr>
                <w:rFonts w:ascii="Tempora LGC Uni" w:hAnsi="Tempora LGC Uni" w:cs="Tempora LGC Uni"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Cs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2.9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05 ноября 2025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года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(на конец операционного дня)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;</w:t>
            </w:r>
            <w:r>
              <w:rPr>
                <w:rFonts w:ascii="Tempora LGC Uni" w:hAnsi="Tempora LGC Uni" w:cs="Tempora LGC Uni"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Cs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2.10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Дата, в которую обязанность по выплате доходов по ценным бумагам эмитента должна быть исполнена,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-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 не позднее 19.11.2025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  <w:p>
            <w:pPr>
              <w:pStyle w:val="874"/>
              <w:jc w:val="both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-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срок выплаты дивидендов другим зарегистрированны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м в реестре акционеров лицам –  не позднее 10.12.2025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</w:tbl>
    <w:p>
      <w:pPr>
        <w:pStyle w:val="874"/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31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09" w:type="dxa"/>
            <w:textDirection w:val="lrTb"/>
            <w:noWrap w:val="false"/>
          </w:tcPr>
          <w:p>
            <w:pPr>
              <w:pStyle w:val="715"/>
              <w:contextualSpacing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07.06.2022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09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22</w:t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 октября</w:t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white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397" w:bottom="71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empora LGC Uni">
    <w:panose1 w:val="02020603050405020304"/>
  </w:font>
  <w:font w:name="Tahoma">
    <w:panose1 w:val="020B0606030504020204"/>
  </w:font>
  <w:font w:name="Verdana">
    <w:panose1 w:val="020B0606030504020204"/>
  </w:font>
  <w:font w:name="SimSun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separate"/>
    </w:r>
    <w:r>
      <w:rPr>
        <w:rStyle w:val="879"/>
      </w:rPr>
      <w:t xml:space="preserve">2</w: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decimal"/>
      <w:isLgl w:val="false"/>
      <w:suff w:val="nothing"/>
      <w:lvlText w:val=""/>
      <w:lvlJc w:val="left"/>
      <w:pPr>
        <w:ind w:left="720"/>
      </w:pPr>
      <w:rPr>
        <w:rFonts w:cs="Times New Roman"/>
        <w:spacing w:val="0"/>
      </w:rPr>
    </w:lvl>
    <w:lvl w:ilvl="2">
      <w:start w:val="1"/>
      <w:numFmt w:val="decimal"/>
      <w:isLgl w:val="false"/>
      <w:suff w:val="nothing"/>
      <w:lvlText w:val=""/>
      <w:lvlJc w:val="left"/>
      <w:pPr>
        <w:ind w:left="1440"/>
      </w:pPr>
      <w:rPr>
        <w:rFonts w:cs="Times New Roman"/>
        <w:spacing w:val="0"/>
      </w:rPr>
    </w:lvl>
    <w:lvl w:ilvl="3">
      <w:start w:val="1"/>
      <w:numFmt w:val="decimal"/>
      <w:isLgl w:val="false"/>
      <w:suff w:val="nothing"/>
      <w:lvlText w:val=""/>
      <w:lvlJc w:val="left"/>
      <w:pPr>
        <w:ind w:left="2160"/>
      </w:pPr>
      <w:rPr>
        <w:rFonts w:cs="Times New Roman"/>
        <w:spacing w:val="0"/>
      </w:rPr>
    </w:lvl>
    <w:lvl w:ilvl="4">
      <w:start w:val="1"/>
      <w:numFmt w:val="decimal"/>
      <w:isLgl w:val="false"/>
      <w:suff w:val="nothing"/>
      <w:lvlText w:val=""/>
      <w:lvlJc w:val="left"/>
      <w:pPr>
        <w:ind w:left="2880"/>
      </w:pPr>
      <w:rPr>
        <w:rFonts w:cs="Times New Roman"/>
        <w:spacing w:val="0"/>
      </w:rPr>
    </w:lvl>
    <w:lvl w:ilvl="5">
      <w:start w:val="1"/>
      <w:numFmt w:val="decimal"/>
      <w:isLgl w:val="false"/>
      <w:suff w:val="nothing"/>
      <w:lvlText w:val=""/>
      <w:lvlJc w:val="left"/>
      <w:pPr>
        <w:ind w:left="3600"/>
      </w:pPr>
      <w:rPr>
        <w:rFonts w:cs="Times New Roman"/>
        <w:spacing w:val="0"/>
      </w:rPr>
    </w:lvl>
    <w:lvl w:ilvl="6">
      <w:start w:val="1"/>
      <w:numFmt w:val="decimal"/>
      <w:isLgl w:val="false"/>
      <w:suff w:val="nothing"/>
      <w:lvlText w:val=""/>
      <w:lvlJc w:val="left"/>
      <w:pPr>
        <w:ind w:left="4320"/>
      </w:pPr>
      <w:rPr>
        <w:rFonts w:cs="Times New Roman"/>
        <w:spacing w:val="0"/>
      </w:rPr>
    </w:lvl>
    <w:lvl w:ilvl="7">
      <w:start w:val="1"/>
      <w:numFmt w:val="decimal"/>
      <w:isLgl w:val="false"/>
      <w:suff w:val="nothing"/>
      <w:lvlText w:val=""/>
      <w:lvlJc w:val="left"/>
      <w:pPr>
        <w:ind w:left="5040"/>
      </w:pPr>
      <w:rPr>
        <w:rFonts w:cs="Times New Roman"/>
        <w:spacing w:val="0"/>
      </w:rPr>
    </w:lvl>
    <w:lvl w:ilvl="8">
      <w:start w:val="1"/>
      <w:numFmt w:val="decimal"/>
      <w:isLgl w:val="false"/>
      <w:suff w:val="nothing"/>
      <w:lvlText w:val=""/>
      <w:lvlJc w:val="left"/>
      <w:pPr>
        <w:ind w:left="5760"/>
      </w:pPr>
      <w:rPr>
        <w:rFonts w:cs="Times New Roman"/>
        <w:spacing w:val="0"/>
      </w:rPr>
    </w:lvl>
  </w:abstractNum>
  <w:abstractNum w:abstractNumId="1">
    <w:multiLevelType w:val="hybridMultilevel"/>
    <w:lvl w:ilvl="0">
      <w:start w:val="1"/>
      <w:numFmt w:val="decimal"/>
      <w:pStyle w:val="880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881"/>
      <w:isLgl w:val="false"/>
      <w:suff w:val="nothing"/>
      <w:lvlText w:val=""/>
      <w:lvlJc w:val="left"/>
      <w:pPr>
        <w:ind w:left="720" w:firstLine="0"/>
      </w:pPr>
    </w:lvl>
    <w:lvl w:ilvl="2">
      <w:start w:val="1"/>
      <w:numFmt w:val="decimal"/>
      <w:pStyle w:val="882"/>
      <w:isLgl w:val="false"/>
      <w:suff w:val="nothing"/>
      <w:lvlText w:val=""/>
      <w:lvlJc w:val="left"/>
      <w:pPr>
        <w:ind w:left="1440" w:firstLine="0"/>
      </w:pPr>
    </w:lvl>
    <w:lvl w:ilvl="3">
      <w:start w:val="1"/>
      <w:numFmt w:val="decimal"/>
      <w:pStyle w:val="883"/>
      <w:isLgl w:val="false"/>
      <w:suff w:val="nothing"/>
      <w:lvlText w:val=""/>
      <w:lvlJc w:val="left"/>
      <w:pPr>
        <w:ind w:left="2160" w:firstLine="0"/>
      </w:pPr>
    </w:lvl>
    <w:lvl w:ilvl="4">
      <w:start w:val="1"/>
      <w:numFmt w:val="decimal"/>
      <w:pStyle w:val="884"/>
      <w:isLgl w:val="false"/>
      <w:suff w:val="nothing"/>
      <w:lvlText w:val=""/>
      <w:lvlJc w:val="left"/>
      <w:pPr>
        <w:ind w:left="2880" w:firstLine="0"/>
      </w:pPr>
    </w:lvl>
    <w:lvl w:ilvl="5">
      <w:start w:val="1"/>
      <w:numFmt w:val="decimal"/>
      <w:pStyle w:val="885"/>
      <w:isLgl w:val="false"/>
      <w:suff w:val="nothing"/>
      <w:lvlText w:val=""/>
      <w:lvlJc w:val="left"/>
      <w:pPr>
        <w:ind w:left="3600" w:firstLine="0"/>
      </w:pPr>
    </w:lvl>
    <w:lvl w:ilvl="6">
      <w:start w:val="1"/>
      <w:numFmt w:val="decimal"/>
      <w:pStyle w:val="886"/>
      <w:isLgl w:val="false"/>
      <w:suff w:val="nothing"/>
      <w:lvlText w:val=""/>
      <w:lvlJc w:val="left"/>
      <w:pPr>
        <w:ind w:left="4320" w:firstLine="0"/>
      </w:pPr>
    </w:lvl>
    <w:lvl w:ilvl="7">
      <w:start w:val="1"/>
      <w:numFmt w:val="decimal"/>
      <w:pStyle w:val="887"/>
      <w:isLgl w:val="false"/>
      <w:suff w:val="nothing"/>
      <w:lvlText w:val=""/>
      <w:lvlJc w:val="left"/>
      <w:pPr>
        <w:ind w:left="5040" w:firstLine="0"/>
      </w:pPr>
    </w:lvl>
    <w:lvl w:ilvl="8">
      <w:start w:val="1"/>
      <w:numFmt w:val="decimal"/>
      <w:pStyle w:val="888"/>
      <w:isLgl w:val="false"/>
      <w:suff w:val="nothing"/>
      <w:lvlText w:val="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lang w:val="ru-RU" w:eastAsia="ru-RU" w:bidi="ar-SA"/>
    </w:rPr>
  </w:style>
  <w:style w:type="character" w:styleId="875">
    <w:name w:val="Основной шрифт абзаца"/>
    <w:next w:val="875"/>
    <w:link w:val="874"/>
    <w:semiHidden/>
  </w:style>
  <w:style w:type="table" w:styleId="876">
    <w:name w:val="Обычная таблица"/>
    <w:next w:val="876"/>
    <w:link w:val="874"/>
    <w:semiHidden/>
    <w:tblPr/>
  </w:style>
  <w:style w:type="numbering" w:styleId="877">
    <w:name w:val="Нет списка"/>
    <w:next w:val="877"/>
    <w:link w:val="874"/>
    <w:semiHidden/>
  </w:style>
  <w:style w:type="paragraph" w:styleId="878">
    <w:name w:val="Верхний колонтитул"/>
    <w:basedOn w:val="874"/>
    <w:next w:val="878"/>
    <w:link w:val="874"/>
    <w:pPr>
      <w:tabs>
        <w:tab w:val="center" w:pos="4153" w:leader="none"/>
        <w:tab w:val="right" w:pos="8306" w:leader="none"/>
      </w:tabs>
    </w:pPr>
  </w:style>
  <w:style w:type="character" w:styleId="879">
    <w:name w:val="Номер страницы"/>
    <w:basedOn w:val="875"/>
    <w:next w:val="879"/>
    <w:link w:val="874"/>
  </w:style>
  <w:style w:type="paragraph" w:styleId="880">
    <w:name w:val="AODocTxt"/>
    <w:basedOn w:val="874"/>
    <w:next w:val="880"/>
    <w:link w:val="889"/>
    <w:pPr>
      <w:numPr>
        <w:ilvl w:val="0"/>
        <w:numId w:val="1"/>
      </w:numPr>
      <w:jc w:val="both"/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styleId="881">
    <w:name w:val="AODocTxtL1"/>
    <w:basedOn w:val="880"/>
    <w:next w:val="881"/>
    <w:link w:val="874"/>
    <w:pPr>
      <w:numPr>
        <w:ilvl w:val="1"/>
        <w:numId w:val="1"/>
      </w:numPr>
      <w:ind w:left="2880" w:hanging="360"/>
      <w:tabs>
        <w:tab w:val="num" w:pos="360" w:leader="none"/>
        <w:tab w:val="num" w:pos="2880" w:leader="none"/>
      </w:tabs>
    </w:pPr>
  </w:style>
  <w:style w:type="paragraph" w:styleId="882">
    <w:name w:val="AODocTxtL2"/>
    <w:basedOn w:val="880"/>
    <w:next w:val="882"/>
    <w:link w:val="874"/>
    <w:pPr>
      <w:numPr>
        <w:ilvl w:val="2"/>
        <w:numId w:val="1"/>
      </w:numPr>
      <w:ind w:left="3600" w:hanging="180"/>
      <w:tabs>
        <w:tab w:val="num" w:pos="360" w:leader="none"/>
        <w:tab w:val="num" w:pos="3600" w:leader="none"/>
      </w:tabs>
    </w:pPr>
  </w:style>
  <w:style w:type="paragraph" w:styleId="883">
    <w:name w:val="AODocTxtL3"/>
    <w:basedOn w:val="880"/>
    <w:next w:val="883"/>
    <w:link w:val="874"/>
    <w:pPr>
      <w:numPr>
        <w:ilvl w:val="3"/>
        <w:numId w:val="1"/>
      </w:numPr>
      <w:ind w:left="4320" w:hanging="360"/>
      <w:tabs>
        <w:tab w:val="num" w:pos="360" w:leader="none"/>
        <w:tab w:val="num" w:pos="4320" w:leader="none"/>
      </w:tabs>
    </w:pPr>
  </w:style>
  <w:style w:type="paragraph" w:styleId="884">
    <w:name w:val="AODocTxtL4"/>
    <w:basedOn w:val="880"/>
    <w:next w:val="884"/>
    <w:link w:val="874"/>
    <w:pPr>
      <w:numPr>
        <w:ilvl w:val="4"/>
        <w:numId w:val="1"/>
      </w:numPr>
      <w:ind w:left="5040" w:hanging="360"/>
      <w:tabs>
        <w:tab w:val="num" w:pos="360" w:leader="none"/>
        <w:tab w:val="num" w:pos="5040" w:leader="none"/>
      </w:tabs>
    </w:pPr>
  </w:style>
  <w:style w:type="paragraph" w:styleId="885">
    <w:name w:val="AODocTxtL5"/>
    <w:basedOn w:val="880"/>
    <w:next w:val="885"/>
    <w:link w:val="874"/>
    <w:pPr>
      <w:numPr>
        <w:ilvl w:val="5"/>
        <w:numId w:val="1"/>
      </w:numPr>
      <w:ind w:left="5760" w:hanging="180"/>
      <w:tabs>
        <w:tab w:val="num" w:pos="360" w:leader="none"/>
        <w:tab w:val="num" w:pos="5760" w:leader="none"/>
      </w:tabs>
    </w:pPr>
  </w:style>
  <w:style w:type="paragraph" w:styleId="886">
    <w:name w:val="AODocTxtL6"/>
    <w:basedOn w:val="880"/>
    <w:next w:val="886"/>
    <w:link w:val="874"/>
    <w:pPr>
      <w:numPr>
        <w:ilvl w:val="6"/>
        <w:numId w:val="1"/>
      </w:numPr>
      <w:ind w:left="6480" w:hanging="360"/>
      <w:tabs>
        <w:tab w:val="num" w:pos="360" w:leader="none"/>
        <w:tab w:val="num" w:pos="6480" w:leader="none"/>
      </w:tabs>
    </w:pPr>
  </w:style>
  <w:style w:type="paragraph" w:styleId="887">
    <w:name w:val="AODocTxtL7"/>
    <w:basedOn w:val="880"/>
    <w:next w:val="887"/>
    <w:link w:val="874"/>
    <w:pPr>
      <w:numPr>
        <w:ilvl w:val="7"/>
        <w:numId w:val="1"/>
      </w:numPr>
      <w:ind w:left="7200" w:hanging="360"/>
      <w:tabs>
        <w:tab w:val="num" w:pos="360" w:leader="none"/>
        <w:tab w:val="num" w:pos="7200" w:leader="none"/>
      </w:tabs>
    </w:pPr>
  </w:style>
  <w:style w:type="paragraph" w:styleId="888">
    <w:name w:val="AODocTxtL8"/>
    <w:basedOn w:val="880"/>
    <w:next w:val="888"/>
    <w:link w:val="874"/>
    <w:pPr>
      <w:numPr>
        <w:ilvl w:val="8"/>
        <w:numId w:val="1"/>
      </w:numPr>
      <w:ind w:left="7920" w:hanging="180"/>
      <w:tabs>
        <w:tab w:val="num" w:pos="360" w:leader="none"/>
        <w:tab w:val="num" w:pos="7920" w:leader="none"/>
      </w:tabs>
    </w:pPr>
  </w:style>
  <w:style w:type="character" w:styleId="889">
    <w:name w:val="AODocTxt Char"/>
    <w:next w:val="889"/>
    <w:link w:val="880"/>
    <w:rPr>
      <w:rFonts w:eastAsia="SimSun"/>
      <w:sz w:val="22"/>
      <w:szCs w:val="22"/>
      <w:lang w:val="en-GB" w:eastAsia="en-US" w:bidi="ar-SA"/>
    </w:rPr>
  </w:style>
  <w:style w:type="paragraph" w:styleId="890">
    <w:name w:val="Основной текст с отступом 2"/>
    <w:basedOn w:val="874"/>
    <w:next w:val="890"/>
    <w:link w:val="891"/>
    <w:pPr>
      <w:ind w:left="283"/>
      <w:spacing w:after="120" w:line="480" w:lineRule="auto"/>
    </w:pPr>
    <w:rPr>
      <w:sz w:val="24"/>
      <w:szCs w:val="24"/>
    </w:rPr>
  </w:style>
  <w:style w:type="character" w:styleId="891">
    <w:name w:val="Основной текст с отступом 2 Знак"/>
    <w:next w:val="891"/>
    <w:link w:val="890"/>
    <w:rPr>
      <w:sz w:val="24"/>
      <w:szCs w:val="24"/>
      <w:lang w:val="ru-RU" w:eastAsia="ru-RU" w:bidi="ar-SA"/>
    </w:rPr>
  </w:style>
  <w:style w:type="paragraph" w:styleId="892">
    <w:name w:val="Основной текст"/>
    <w:basedOn w:val="874"/>
    <w:next w:val="892"/>
    <w:link w:val="874"/>
    <w:pPr>
      <w:spacing w:after="120"/>
    </w:pPr>
  </w:style>
  <w:style w:type="paragraph" w:styleId="893">
    <w:name w:val="Обычный (веб)"/>
    <w:basedOn w:val="874"/>
    <w:next w:val="893"/>
    <w:link w:val="874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894">
    <w:name w:val="Гиперссылка"/>
    <w:next w:val="894"/>
    <w:link w:val="874"/>
    <w:rPr>
      <w:color w:val="0000ff"/>
      <w:u w:val="single"/>
    </w:rPr>
  </w:style>
  <w:style w:type="paragraph" w:styleId="895">
    <w:name w:val="Основной текст с отступом"/>
    <w:basedOn w:val="874"/>
    <w:next w:val="895"/>
    <w:link w:val="874"/>
    <w:pPr>
      <w:ind w:left="283"/>
      <w:spacing w:after="120"/>
    </w:pPr>
  </w:style>
  <w:style w:type="paragraph" w:styleId="896">
    <w:name w:val="Текст выноски"/>
    <w:basedOn w:val="874"/>
    <w:next w:val="896"/>
    <w:link w:val="874"/>
    <w:semiHidden/>
    <w:rPr>
      <w:rFonts w:ascii="Tahoma" w:hAnsi="Tahoma" w:cs="Tahoma"/>
      <w:sz w:val="16"/>
      <w:szCs w:val="16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www.ogk2.ru" TargetMode="External"/><Relationship Id="rId12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ОГК-2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>shamne.anna</dc:creator>
  <cp:lastModifiedBy>shishova.ekaterina</cp:lastModifiedBy>
  <cp:revision>83</cp:revision>
  <dcterms:created xsi:type="dcterms:W3CDTF">2019-06-06T10:33:00Z</dcterms:created>
  <dcterms:modified xsi:type="dcterms:W3CDTF">2025-10-22T06:37:25Z</dcterms:modified>
  <cp:version>983040</cp:version>
</cp:coreProperties>
</file>