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>Сообщение о существенном факте</w:t>
        <w:br/>
        <w:t>«</w:t>
      </w:r>
      <w:r>
        <w:rPr>
          <w:b/>
          <w:color w:val="000000"/>
        </w:rPr>
        <w:t>Об отдельных решениях, принятых советом директоров эмитента»</w:t>
      </w:r>
    </w:p>
    <w:p>
      <w:pPr>
        <w:pStyle w:val="Normal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348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5246"/>
        <w:gridCol w:w="5101"/>
      </w:tblGrid>
      <w:tr>
        <w:trPr/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61"/>
              <w:jc w:val="center"/>
              <w:rPr/>
            </w:pPr>
            <w:r>
              <w:rPr/>
              <w:t>1. Общие сведения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1052600002180</w:t>
            </w:r>
          </w:p>
        </w:tc>
      </w:tr>
      <w:tr>
        <w:trPr>
          <w:trHeight w:val="70" w:hRule="atLeast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1.4. Идентификационный номер налогоплательщика (ИНН) эмитента (при наличии)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2607018122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1.5. Уникальный код эмитента, присвоенный Банком России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65105-D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/>
              <w:rPr/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https://www.ogk2.ru</w:t>
              </w:r>
            </w:hyperlink>
          </w:p>
          <w:p>
            <w:pPr>
              <w:pStyle w:val="Normal"/>
              <w:ind w:right="85"/>
              <w:rPr/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30.01.2024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8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554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/>
              <w:t xml:space="preserve">2.1. </w:t>
            </w:r>
            <w:r>
              <w:rPr>
                <w:rFonts w:eastAsia="Calibri"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>
            <w:pPr>
              <w:pStyle w:val="Normal"/>
              <w:ind w:right="57"/>
              <w:rPr/>
            </w:pPr>
            <w:r>
              <w:rPr>
                <w:b/>
              </w:rPr>
              <w:t>В заочном голосовании приняли участие 11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rPr/>
              <w:t>.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-28" w:right="57"/>
              <w:jc w:val="both"/>
              <w:rPr/>
            </w:pPr>
            <w:r>
              <w:rPr/>
              <w:t>2.2. Содержание решений, принятых советом директоров эмитента: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121" w:right="57"/>
              <w:jc w:val="both"/>
              <w:rPr/>
            </w:pPr>
            <w:r>
              <w:rPr/>
            </w:r>
          </w:p>
          <w:p>
            <w:pPr>
              <w:pStyle w:val="BodyText"/>
              <w:widowControl w:val="false"/>
              <w:rPr>
                <w:b/>
              </w:rPr>
            </w:pPr>
            <w:r>
              <w:rPr>
                <w:b/>
              </w:rPr>
              <w:t>Вопрос:</w:t>
            </w:r>
          </w:p>
          <w:p>
            <w:pPr>
              <w:pStyle w:val="BodyText"/>
              <w:widowControl w:val="false"/>
              <w:rPr>
                <w:b/>
              </w:rPr>
            </w:pPr>
            <w:r>
              <w:rPr>
                <w:b/>
              </w:rPr>
              <w:t>2. О порядке определения цены размещения дополнительных акций ПАО «ОГК-2.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Установить следующий порядок определения цены размещения дополнительных акций ПАО «ОГК-2», в том числе лицам, включенным в список лиц, имеющих преимущественное право приобретения размещаемых дополнительных акций: цена размещения дополнительных акций ПАО «ОГК-2», в том числе лицам, включенным в список лиц, имеющих преимущественное право приобретения размещаемых дополнительных акций, определяется в размере, равном наименьшей из следующих величин: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средневзвешенной цены, рассчитываемой российским организатором торговли на рынке ценных бумаг (фондовой биржей) по результатам организованных торгов акциями Эмитента на последний торговый день, предшествующий дате направления уведомления о наличии у акционеров преимущественного права приобретения дополнительных акций;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средневзвешенной цены, рассчитываемой российским организатором торговли на рынке ценных бумаг (фондовой биржей) по результатам организованных торгов акциями Эмитента за 3 месяца, предшествующих дате направления уведомления о наличии у акционеров преимущественного права приобретения дополнительных акций.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 этом цена размещения дополнительных акций ПАО «ОГК-2» не может быть ниже их номинальной стоимости.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  Об утверждении Документа, содержащего условия размещения ценных бумаг ПАО «ОГК-2».</w:t>
            </w:r>
          </w:p>
          <w:p>
            <w:pPr>
              <w:pStyle w:val="Normal"/>
              <w:spacing w:before="20" w:after="2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Утвердить Документ, содержащий условия размещения ценных бумаг ПАО «ОГК-2» (обыкновенные акции номинальной стоимостью 0,3627 (Ноль целых три тысячи шестьсот двадцать семь десятитысячных) рубля каждая, в количестве 48 283 938 719 (Сорок восемь миллиардов двести восемьдесят три миллиона девятьсот тридцать восемь тысяч семьсот девятнадцать) штук, способ размещения – закрытая подписка).</w:t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30.01.2024.</w:t>
            </w:r>
          </w:p>
          <w:p>
            <w:pPr>
              <w:pStyle w:val="Normal"/>
              <w:ind w:firstLine="21" w:right="57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>Протокол от 30.01.2024 № 314.</w:t>
            </w:r>
          </w:p>
          <w:p>
            <w:pPr>
              <w:pStyle w:val="Normal"/>
              <w:ind w:firstLine="21" w:right="57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ind w:firstLine="21" w:right="57"/>
              <w:jc w:val="both"/>
              <w:rPr>
                <w:color w:val="000000"/>
              </w:rPr>
            </w:pPr>
            <w:r>
              <w:rPr>
                <w:rFonts w:eastAsia="Calibri" w:eastAsiaTheme="minorHAnsi"/>
                <w:b w:val="false"/>
                <w:bCs w:val="false"/>
                <w:lang w:eastAsia="en-US"/>
              </w:rPr>
              <w:t xml:space="preserve">2.5. </w:t>
            </w:r>
            <w:r>
              <w:rPr>
                <w:b w:val="false"/>
                <w:bCs w:val="false"/>
              </w:rPr>
              <w:t xml:space="preserve">В случае принятия советом директоров решений, связанных с осуществлением прав по ценным бумагам эмитента, в отношении таких ценных бумаг дополнительно должны быть указаны идентификационные признаки ценных бумаг: </w:t>
            </w:r>
            <w:r>
              <w:rPr>
                <w:b/>
              </w:rPr>
              <w:t>акции обыкновенные, государственный регистрационный номер 1-02-65105-D от 19.04.2007, международный код (номер) идентификации ценных бумаг (ISIN): RU000A0JNG55, международный код классификации финансовых инструментов (CFI) ESVXFR.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07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628"/>
        <w:gridCol w:w="607"/>
        <w:gridCol w:w="294"/>
        <w:gridCol w:w="1318"/>
        <w:gridCol w:w="413"/>
        <w:gridCol w:w="310"/>
        <w:gridCol w:w="1525"/>
        <w:gridCol w:w="1341"/>
        <w:gridCol w:w="462"/>
        <w:gridCol w:w="2314"/>
        <w:gridCol w:w="94"/>
      </w:tblGrid>
      <w:tr>
        <w:trPr>
          <w:cantSplit w:val="true"/>
        </w:trPr>
        <w:tc>
          <w:tcPr>
            <w:tcW w:w="10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61"/>
              <w:jc w:val="center"/>
              <w:rPr/>
            </w:pPr>
            <w:r>
              <w:rPr/>
              <w:t>3. Подпись</w:t>
            </w:r>
          </w:p>
        </w:tc>
      </w:tr>
      <w:tr>
        <w:trPr>
          <w:cantSplit w:val="true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>
              <w:rPr>
                <w:b/>
              </w:rPr>
              <w:t>Заместитель управляющего директора</w:t>
            </w:r>
          </w:p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i/>
                <w:i/>
                <w:szCs w:val="22"/>
                <w:lang w:eastAsia="ko-KR"/>
              </w:rPr>
            </w:pPr>
            <w:r>
              <w:rPr>
                <w:b/>
                <w:i/>
                <w:szCs w:val="22"/>
                <w:lang w:eastAsia="ko-KR"/>
              </w:rPr>
            </w:r>
          </w:p>
        </w:tc>
        <w:tc>
          <w:tcPr>
            <w:tcW w:w="2314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М.А. Чалый</w:t>
            </w:r>
          </w:p>
        </w:tc>
        <w:tc>
          <w:tcPr>
            <w:tcW w:w="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095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3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2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" w:type="dxa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" w:hRule="atLeast"/>
          <w:cantSplit w:val="true"/>
        </w:trPr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893" w:leader="none"/>
                <w:tab w:val="left" w:pos="1532" w:leader="none"/>
              </w:tabs>
              <w:ind w:left="57"/>
              <w:rPr/>
            </w:pPr>
            <w:r>
              <w:rPr/>
              <w:t>3.2. Дата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«3</w:t>
            </w:r>
            <w:r>
              <w:rPr/>
              <w:t>1</w:t>
            </w:r>
            <w:r>
              <w:rPr/>
              <w:t>»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января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rPr/>
              <w:t>г.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895" w:leader="none"/>
        </w:tabs>
        <w:rPr/>
      </w:pPr>
      <w:r>
        <w:rPr/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1440" w:right="1440" w:gutter="0" w:header="284" w:top="1440" w:footer="284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Style8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Style12ptBoldItalic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themeColor="text1" w:themeTint="bf" w:val="4040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st" w:customStyle="1">
    <w:name w:val="Subst"/>
    <w:uiPriority w:val="99"/>
    <w:qFormat/>
    <w:rPr>
      <w:b/>
      <w:i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Абзац 3"/>
    <w:basedOn w:val="Normal"/>
    <w:qFormat/>
    <w:pPr>
      <w:jc w:val="both"/>
    </w:pPr>
    <w:rPr>
      <w:rFonts w:eastAsia="Arial" w:cs="Arial" w:cstheme="minorBidi" w:eastAsiaTheme="minorEastAsia"/>
      <w:sz w:val="24"/>
      <w:szCs w:val="22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LibreOffice/7.6.0.3$Linux_X86_64 LibreOffice_project/60$Build-3</Application>
  <AppVersion>15.0000</AppVersion>
  <Pages>2</Pages>
  <Words>511</Words>
  <Characters>3708</Characters>
  <CharactersWithSpaces>4193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2020-02-27T13:07:00Z</dcterms:created>
  <dc:creator>Белокур Елена Викторовна</dc:creator>
  <dc:description/>
  <dc:language>ru-RU</dc:language>
  <cp:lastModifiedBy/>
  <cp:lastPrinted>2024-01-31T09:20:58Z</cp:lastPrinted>
  <dcterms:modified xsi:type="dcterms:W3CDTF">2024-01-31T09:33:26Z</dcterms:modified>
  <cp:revision>348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