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6"/>
        <w:ind w:left="6480"/>
      </w:pPr>
      <w:r>
        <w:t xml:space="preserve">Заместителю директора – главному инженеру филиала </w:t>
      </w:r>
      <w:r/>
      <w:r>
        <w:t xml:space="preserve">ПАО «ОГК-2» - Рязанская ГРЭС</w:t>
      </w:r>
      <w:r/>
      <w:r/>
    </w:p>
    <w:p>
      <w:pPr>
        <w:pStyle w:val="626"/>
        <w:ind w:left="6480"/>
      </w:pPr>
      <w:r>
        <w:t xml:space="preserve">Миляеву А.Г.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                           (ФИО)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____________________________</w:t>
      </w:r>
      <w:r/>
    </w:p>
    <w:p>
      <w:pPr>
        <w:pStyle w:val="626"/>
        <w:ind w:left="6480"/>
      </w:pPr>
      <w:r>
        <w:t xml:space="preserve">               (Адрес, телефон)</w:t>
      </w:r>
      <w:r/>
    </w:p>
    <w:p>
      <w:pPr>
        <w:pStyle w:val="626"/>
        <w:ind w:left="648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26"/>
        <w:ind w:left="6480"/>
        <w:rPr>
          <w:sz w:val="23"/>
          <w:szCs w:val="23"/>
        </w:rPr>
      </w:pPr>
      <w:r>
        <w:rPr>
          <w:sz w:val="23"/>
          <w:szCs w:val="23"/>
        </w:rPr>
      </w:r>
      <w:r>
        <w:rPr>
          <w:sz w:val="23"/>
          <w:szCs w:val="23"/>
        </w:rPr>
      </w:r>
    </w:p>
    <w:p>
      <w:pPr>
        <w:pStyle w:val="626"/>
        <w:jc w:val="both"/>
      </w:pPr>
      <w:r/>
      <w:r/>
    </w:p>
    <w:p>
      <w:pPr>
        <w:pStyle w:val="626"/>
        <w:jc w:val="center"/>
        <w:rPr>
          <w:b/>
        </w:rPr>
      </w:pPr>
      <w:r>
        <w:rPr>
          <w:b/>
        </w:rPr>
        <w:t xml:space="preserve">Заяв</w:t>
      </w:r>
      <w:r>
        <w:rPr>
          <w:b/>
        </w:rPr>
        <w:t xml:space="preserve">ление</w:t>
      </w:r>
      <w:r>
        <w:rPr>
          <w:b/>
        </w:rPr>
      </w:r>
      <w:r>
        <w:rPr>
          <w:b/>
        </w:rPr>
      </w:r>
    </w:p>
    <w:p>
      <w:pPr>
        <w:pStyle w:val="626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предоставлении условий подключения (технических условий на присоединение) и заключении договора </w:t>
      </w:r>
      <w:r>
        <w:rPr>
          <w:b/>
        </w:rPr>
        <w:t xml:space="preserve">холодного водоснабжения (водо</w:t>
      </w:r>
      <w:r>
        <w:rPr>
          <w:b/>
        </w:rPr>
        <w:t xml:space="preserve">о</w:t>
      </w:r>
      <w:r>
        <w:rPr>
          <w:b/>
        </w:rPr>
        <w:t xml:space="preserve">тведения)</w:t>
      </w:r>
      <w:r>
        <w:rPr>
          <w:b/>
        </w:rPr>
      </w:r>
    </w:p>
    <w:p>
      <w:pPr>
        <w:pStyle w:val="626"/>
        <w:jc w:val="both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6"/>
        <w:jc w:val="both"/>
      </w:pPr>
      <w:r/>
      <w:r/>
    </w:p>
    <w:p>
      <w:pPr>
        <w:pStyle w:val="626"/>
        <w:jc w:val="both"/>
      </w:pPr>
      <w:r>
        <w:t xml:space="preserve">С целью подключения строящегося (реконструируемого) или построенного, но не подключенного к </w:t>
      </w:r>
      <w:r>
        <w:t xml:space="preserve">инженерным сетя</w:t>
      </w:r>
      <w:r>
        <w:t xml:space="preserve">м</w:t>
      </w:r>
      <w:r>
        <w:t xml:space="preserve"> холодного водоснабжения (водоотведения) филиала ПАО «ОГК-2» - Рязанская ГРЭС </w:t>
      </w:r>
      <w:r>
        <w:t xml:space="preserve">объекта капитального строительства и заключения договора </w:t>
      </w:r>
      <w:r>
        <w:t xml:space="preserve">холодного водоснабжения (водоотведения)</w:t>
      </w:r>
      <w:r>
        <w:t xml:space="preserve"> </w:t>
      </w:r>
      <w:r/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____ </w:t>
      </w:r>
      <w:r/>
    </w:p>
    <w:p>
      <w:pPr>
        <w:pStyle w:val="626"/>
        <w:jc w:val="center"/>
      </w:pPr>
      <w:r>
        <w:t xml:space="preserve">(полное и сокращенное наим</w:t>
      </w:r>
      <w:r>
        <w:t xml:space="preserve">енование заказчика - юридического лица, Ф.И.О. заказчика - физического лица и реквизиты документа, удостоверяющего его личность, место нахождения (место жительства), почтовый адрес и иные способы обмена информацией (телефон, факс, адрес электронной почты))</w:t>
      </w:r>
      <w:r/>
    </w:p>
    <w:p>
      <w:pPr>
        <w:pStyle w:val="626"/>
        <w:jc w:val="center"/>
      </w:pPr>
      <w:r/>
      <w:r/>
    </w:p>
    <w:p>
      <w:pPr>
        <w:pStyle w:val="626"/>
        <w:jc w:val="both"/>
      </w:pPr>
      <w:r>
        <w:t xml:space="preserve">просит заключить договор </w:t>
      </w:r>
      <w:r>
        <w:t xml:space="preserve">холодно</w:t>
      </w:r>
      <w:r>
        <w:t xml:space="preserve">го</w:t>
      </w:r>
      <w:r>
        <w:t xml:space="preserve"> водоснабжени</w:t>
      </w:r>
      <w:r>
        <w:t xml:space="preserve">я</w:t>
      </w:r>
      <w:r>
        <w:t xml:space="preserve"> (водоотведени</w:t>
      </w:r>
      <w:r>
        <w:t xml:space="preserve">я</w:t>
      </w:r>
      <w:r>
        <w:t xml:space="preserve">)</w:t>
      </w:r>
      <w:r>
        <w:t xml:space="preserve"> объекта капитального строительства и выдать тех</w:t>
      </w:r>
      <w:r>
        <w:t xml:space="preserve">нические условия на подключение</w:t>
      </w:r>
      <w:r/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___ </w:t>
      </w:r>
      <w:r/>
    </w:p>
    <w:p>
      <w:pPr>
        <w:pStyle w:val="626"/>
        <w:jc w:val="both"/>
      </w:pPr>
      <w:r/>
      <w:r/>
    </w:p>
    <w:p>
      <w:pPr>
        <w:pStyle w:val="626"/>
        <w:jc w:val="both"/>
      </w:pPr>
      <w:r>
        <w:t xml:space="preserve">расположенного по адресу: </w:t>
      </w:r>
      <w:r/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____________ </w:t>
      </w:r>
      <w:r/>
    </w:p>
    <w:p>
      <w:pPr>
        <w:pStyle w:val="626"/>
        <w:jc w:val="center"/>
      </w:pPr>
      <w:r>
        <w:t xml:space="preserve">(адрес или место расположения объекта, кадастровый номер земельного участка)</w:t>
      </w:r>
      <w:r/>
    </w:p>
    <w:p>
      <w:pPr>
        <w:pStyle w:val="626"/>
        <w:jc w:val="center"/>
      </w:pPr>
      <w:r/>
      <w:r/>
    </w:p>
    <w:p>
      <w:pPr>
        <w:pStyle w:val="626"/>
        <w:jc w:val="both"/>
        <w:rPr>
          <w:b/>
          <w:i/>
        </w:rPr>
      </w:pPr>
      <w:r>
        <w:rPr>
          <w:b/>
          <w:i/>
        </w:rPr>
        <w:t xml:space="preserve">Характеристика и назначение объекта: </w:t>
      </w:r>
      <w:r>
        <w:rPr>
          <w:b/>
          <w:i/>
        </w:rPr>
      </w:r>
    </w:p>
    <w:p>
      <w:pPr>
        <w:pStyle w:val="626"/>
        <w:jc w:val="both"/>
      </w:pP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____________</w:t>
      </w:r>
      <w:r>
        <w:t xml:space="preserve">_ </w:t>
      </w:r>
      <w:r/>
    </w:p>
    <w:p>
      <w:pPr>
        <w:pStyle w:val="626"/>
        <w:jc w:val="center"/>
      </w:pPr>
      <w:r>
        <w:t xml:space="preserve">(краткая характеристика, назначение или предполагаемое использование объекта, отдельных зданий, сооружений, помещений в составе объекта, этажность)</w:t>
      </w:r>
      <w:r/>
    </w:p>
    <w:p>
      <w:pPr>
        <w:pStyle w:val="626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26"/>
        <w:jc w:val="both"/>
        <w:rPr>
          <w:b/>
          <w:bCs/>
          <w:i/>
          <w:iCs/>
        </w:rPr>
      </w:pP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626"/>
        <w:jc w:val="both"/>
      </w:pPr>
      <w:r>
        <w:rPr>
          <w:b/>
          <w:bCs/>
          <w:i/>
          <w:iCs/>
        </w:rPr>
        <w:t xml:space="preserve">Подключаемая нагрузка объекта </w:t>
      </w:r>
      <w:r/>
    </w:p>
    <w:p>
      <w:pPr>
        <w:pStyle w:val="626"/>
      </w:pPr>
      <w:r>
        <w:t xml:space="preserve">________________________________________________________________________</w:t>
      </w:r>
      <w:r>
        <w:t xml:space="preserve">___</w:t>
      </w:r>
      <w:r>
        <w:t xml:space="preserve">__________ </w:t>
      </w:r>
      <w:r/>
    </w:p>
    <w:p>
      <w:pPr>
        <w:pStyle w:val="626"/>
        <w:jc w:val="center"/>
      </w:pPr>
      <w:r>
        <w:t xml:space="preserve">(указать: новая или дополнительная)</w:t>
      </w:r>
      <w:r/>
    </w:p>
    <w:p>
      <w:pPr>
        <w:pStyle w:val="626"/>
        <w:jc w:val="center"/>
      </w:pPr>
      <w:r/>
      <w:r/>
    </w:p>
    <w:p>
      <w:pPr>
        <w:pStyle w:val="622"/>
      </w:pPr>
      <w:r>
        <w:t xml:space="preserve">Требуемая нагрузка:</w:t>
      </w:r>
      <w:r/>
    </w:p>
    <w:p>
      <w:pPr>
        <w:pStyle w:val="622"/>
      </w:pPr>
      <w:r>
        <w:t xml:space="preserve">Водоснабжение: _______ (м</w:t>
      </w:r>
      <w:r>
        <w:rPr>
          <w:vertAlign w:val="superscript"/>
        </w:rPr>
        <w:t xml:space="preserve">3</w:t>
      </w:r>
      <w:r>
        <w:t xml:space="preserve">/час).</w:t>
      </w:r>
      <w:r/>
    </w:p>
    <w:p>
      <w:pPr>
        <w:pStyle w:val="622"/>
      </w:pPr>
      <w:r>
        <w:t xml:space="preserve">Водоотведение: ________(м</w:t>
      </w:r>
      <w:r>
        <w:rPr>
          <w:vertAlign w:val="superscript"/>
        </w:rPr>
        <w:t xml:space="preserve">3</w:t>
      </w:r>
      <w:r>
        <w:t xml:space="preserve">/час).</w:t>
      </w:r>
      <w:r/>
    </w:p>
    <w:p>
      <w:pPr>
        <w:pStyle w:val="626"/>
      </w:pPr>
      <w:r/>
      <w:r/>
    </w:p>
    <w:p>
      <w:pPr>
        <w:pStyle w:val="626"/>
      </w:pPr>
      <w:r>
        <w:t xml:space="preserve">В случае размещения </w:t>
      </w:r>
      <w:r>
        <w:t xml:space="preserve">объекта в </w:t>
      </w:r>
      <w:r>
        <w:t xml:space="preserve">нескольких </w:t>
      </w:r>
      <w:r>
        <w:t xml:space="preserve">зданиях (помещениях)</w:t>
      </w:r>
      <w:r>
        <w:t xml:space="preserve"> или нескольких объектов в здании распределение нагрузки указывается для каждого объекта</w:t>
      </w:r>
      <w:r>
        <w:t xml:space="preserve">, здания, помещения</w:t>
      </w:r>
      <w:r>
        <w:t xml:space="preserve">. </w:t>
      </w:r>
      <w:r/>
    </w:p>
    <w:p>
      <w:pPr>
        <w:pStyle w:val="626"/>
        <w:jc w:val="both"/>
      </w:pPr>
      <w:r>
        <w:t xml:space="preserve">Ориентировочный срок сдачи объекта (ввода в эксплуатацию) __</w:t>
      </w:r>
      <w:r>
        <w:t xml:space="preserve">__</w:t>
      </w:r>
      <w:r>
        <w:t xml:space="preserve">_ кв. __</w:t>
      </w:r>
      <w:r>
        <w:t xml:space="preserve">__</w:t>
      </w:r>
      <w:r>
        <w:t xml:space="preserve">_____ года. </w:t>
      </w:r>
      <w:r/>
    </w:p>
    <w:p>
      <w:pPr>
        <w:pStyle w:val="626"/>
        <w:jc w:val="both"/>
      </w:pPr>
      <w:r>
        <w:t xml:space="preserve">(с разбивкой по очередям) </w:t>
      </w:r>
      <w:r/>
    </w:p>
    <w:p>
      <w:pPr>
        <w:pStyle w:val="626"/>
        <w:jc w:val="both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>
        <w:t xml:space="preserve">Дата</w:t>
      </w:r>
      <w:r>
        <w:tab/>
        <w:tab/>
        <w:tab/>
        <w:tab/>
        <w:tab/>
        <w:tab/>
        <w:tab/>
        <w:tab/>
        <w:tab/>
        <w:tab/>
        <w:tab/>
        <w:tab/>
        <w:t xml:space="preserve">Подпись</w:t>
      </w:r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</w:r>
    </w:p>
    <w:p>
      <w:pPr>
        <w:shd w:val="nil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  <w:br w:type="page" w:clear="all"/>
      </w:r>
      <w:r>
        <w:rPr>
          <w:b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b/>
          <w:sz w:val="28"/>
          <w:szCs w:val="28"/>
        </w:rPr>
        <w:t xml:space="preserve">Контакты ответственного за прием и обработку заявок на выдачу техусловий на присоединение</w:t>
      </w:r>
      <w:r>
        <w:rPr>
          <w:b/>
          <w:sz w:val="28"/>
          <w:szCs w:val="28"/>
        </w:rPr>
      </w:r>
      <w:r/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филиале ПАО «ОГК-2» - Рязанская ГРЭС ответственным за прием и обработку заявок на выдачу технических условий на присоединение является ведущий инженер-технолог группы наладки и испытаний (ГНиИ)                                  С.В. Филатов.</w:t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Адрес: Филиал ПАО «ОГК-2» - Рязанская ГРЭС, ул. Промышленная д.1,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Новомичуринск, Пронский район, Рязанская область, Российская Федерация, 391160.</w:t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Телефон: </w:t>
      </w:r>
      <w:r>
        <w:rPr>
          <w:sz w:val="28"/>
          <w:szCs w:val="28"/>
        </w:rPr>
        <w:t xml:space="preserve">8 (49141) 45-3-65, 8 (49141) 45-3-66, 8 (4914</w:t>
      </w:r>
      <w:r>
        <w:rPr>
          <w:sz w:val="28"/>
          <w:szCs w:val="28"/>
        </w:rPr>
        <w:t xml:space="preserve">1) 45-3-45, </w:t>
      </w: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8 (49141) 45-9-34, 8 (49141) 42637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График работы: пн. -  чт. 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- 17</w:t>
      </w:r>
      <w:r>
        <w:rPr>
          <w:sz w:val="28"/>
          <w:szCs w:val="28"/>
          <w:vertAlign w:val="superscript"/>
        </w:rPr>
        <w:t xml:space="preserve">00</w:t>
      </w:r>
      <w:r>
        <w:rPr>
          <w:sz w:val="28"/>
          <w:szCs w:val="28"/>
        </w:rPr>
        <w:t xml:space="preserve">, пт. 8</w:t>
      </w:r>
      <w:r>
        <w:rPr>
          <w:sz w:val="28"/>
          <w:szCs w:val="28"/>
          <w:vertAlign w:val="superscript"/>
        </w:rPr>
        <w:t xml:space="preserve">00 </w:t>
      </w:r>
      <w:r>
        <w:rPr>
          <w:sz w:val="28"/>
          <w:szCs w:val="28"/>
        </w:rPr>
        <w:t xml:space="preserve">– 16</w:t>
      </w:r>
      <w:r>
        <w:rPr>
          <w:sz w:val="28"/>
          <w:szCs w:val="28"/>
          <w:vertAlign w:val="superscript"/>
        </w:rPr>
        <w:t xml:space="preserve">00</w:t>
      </w:r>
      <w:r>
        <w:rPr>
          <w:sz w:val="28"/>
          <w:szCs w:val="28"/>
        </w:rPr>
        <w:t xml:space="preserve">, сб., вс.  выходной.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shd w:val="ni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631"/>
        <w:ind w:firstLine="709"/>
        <w:jc w:val="center"/>
        <w:tabs>
          <w:tab w:val="left" w:pos="1560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 и сведений, представляемых одновременно с заявлением о предоставлении условий подключения (технических условий на присоединение)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31"/>
        <w:ind w:firstLine="709"/>
        <w:jc w:val="both"/>
        <w:tabs>
          <w:tab w:val="left" w:pos="156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отариально заверенные копии учредительных документов, а также 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 полномочия лица, подписавшего запрос;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равоустанавливающие документы на земельный участок (для правообладателя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участка)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границах земельного участка, на котором планируется осуществить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объекта капитального строительства или на котором расположен реконструируемый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</w:t>
      </w:r>
      <w:r>
        <w:rPr>
          <w:rFonts w:ascii="Times New Roman" w:hAnsi="Times New Roman" w:cs="Times New Roman"/>
          <w:sz w:val="28"/>
          <w:szCs w:val="28"/>
        </w:rPr>
        <w:t xml:space="preserve">ъект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1"/>
          <w:numId w:val="2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итуационный план расположения объекта капитального строительства с привязкой к территории населенного пункта;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1"/>
          <w:numId w:val="2"/>
        </w:numPr>
        <w:ind w:left="0" w:firstLine="709"/>
        <w:jc w:val="both"/>
        <w:tabs>
          <w:tab w:val="left" w:pos="127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опографическая карта земельного участка в масштабе 1:500 с указанием всех наземн</w:t>
      </w:r>
      <w:r>
        <w:rPr>
          <w:rFonts w:ascii="Times New Roman" w:hAnsi="Times New Roman" w:cs="Times New Roman"/>
          <w:sz w:val="28"/>
          <w:szCs w:val="28"/>
        </w:rPr>
        <w:t xml:space="preserve">ых и подземных коммуникаций и сооружений, согласованная с организациями, эксплуатирующими указанные объекты (на прилагается, если заявителем является физическое лицо, осуществляющее создание (реконструкцию) объекта индивидуального жилищного строительства);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разрешенном использовании земельного участка;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нформаци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о предельных параметрах разрешенного строительства (реконструкции)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строительства, соответствующих данному земельному участку;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анны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о необходимых видах ресурсов, получаемых от сетей инженерно-технического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обеспечения;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ланируемый срок ввода в эксплуатацию объекта капитального строительства (при 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информации);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ланируемую величину необходимой подключаемой нагрузки (при наличии соответствующей информации).</w:t>
      </w:r>
      <w:r/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аланс водопотребления и водоотведения подключаемого объекта с указанием целей использования холодной вод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распределением объемов подключаемой нагрузки по целям использования, в том числе на пожаротушение, периодические нужды, заполнение и опорожнение бассейнов, прием поверхностных сточных вод</w:t>
      </w:r>
      <w:r>
        <w:rPr>
          <w:rFonts w:ascii="Times New Roman" w:hAnsi="Times New Roman" w:cs="Times New Roman"/>
          <w:sz w:val="28"/>
          <w:szCs w:val="28"/>
        </w:rPr>
        <w:t xml:space="preserve"> (предоставляется при подключении к системе холодного водоснабжения/водоотведения)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ведения о составе и свойствах сточных вод, намеченных к отведению в централизованную систему водоотведения</w:t>
      </w:r>
      <w:r>
        <w:rPr>
          <w:rFonts w:ascii="Times New Roman" w:hAnsi="Times New Roman" w:cs="Times New Roman"/>
          <w:sz w:val="28"/>
          <w:szCs w:val="28"/>
        </w:rPr>
        <w:t xml:space="preserve"> (предоставляется при подключении к системе водоотведения)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31"/>
        <w:numPr>
          <w:ilvl w:val="0"/>
          <w:numId w:val="1"/>
        </w:numPr>
        <w:ind w:left="0" w:firstLine="709"/>
        <w:jc w:val="both"/>
        <w:tabs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еквизиты для заключения договора.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pStyle w:val="626"/>
      </w:pPr>
      <w:r/>
      <w:r/>
    </w:p>
    <w:p>
      <w:pPr>
        <w:shd w:val="nil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none"/>
        </w:rPr>
        <w:br w:type="page" w:clear="all"/>
      </w:r>
      <w:r>
        <w:rPr>
          <w:b/>
          <w:color w:val="000000"/>
          <w:sz w:val="28"/>
          <w:szCs w:val="28"/>
          <w:highlight w:val="none"/>
        </w:rPr>
      </w:r>
    </w:p>
    <w:p>
      <w:pPr>
        <w:pStyle w:val="626"/>
        <w:jc w:val="center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Реквизиты нормативных правовых актов,</w:t>
      </w:r>
      <w:r>
        <w:rPr>
          <w:b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pStyle w:val="6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регламенти</w:t>
      </w:r>
      <w:r>
        <w:rPr>
          <w:b/>
          <w:color w:val="000000"/>
          <w:sz w:val="28"/>
          <w:szCs w:val="28"/>
        </w:rPr>
        <w:t xml:space="preserve">рующих порядок действий заявителя и организации водоотведения при подаче, приеме, обработке заявления о заключении договора о подключении (технологическом присоединении) к централизованной системе водоотведения (в том числе в форме электронного документа):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26"/>
        <w:numPr>
          <w:ilvl w:val="0"/>
          <w:numId w:val="3"/>
        </w:numPr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 подключения (технологического присоединения) объектов капитального строительства к централизованным системам горячего водоснабжения, холодно</w:t>
      </w:r>
      <w:r>
        <w:rPr>
          <w:color w:val="000000"/>
          <w:sz w:val="28"/>
          <w:szCs w:val="28"/>
        </w:rPr>
        <w:t xml:space="preserve">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Федерации"</w:t>
      </w:r>
      <w:r>
        <w:rPr>
          <w:color w:val="000000"/>
          <w:sz w:val="28"/>
          <w:szCs w:val="28"/>
        </w:rPr>
        <w:t xml:space="preserve">, утвержденные п</w:t>
      </w:r>
      <w:r>
        <w:rPr>
          <w:color w:val="000000"/>
          <w:sz w:val="28"/>
          <w:szCs w:val="28"/>
        </w:rPr>
        <w:t xml:space="preserve">остановление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 Правительства Р</w:t>
      </w:r>
      <w:r>
        <w:rPr>
          <w:color w:val="000000"/>
          <w:sz w:val="28"/>
          <w:szCs w:val="28"/>
        </w:rPr>
        <w:t xml:space="preserve">Ф от 30.11.2021 №</w:t>
      </w:r>
      <w:r>
        <w:rPr>
          <w:color w:val="000000"/>
          <w:sz w:val="28"/>
          <w:szCs w:val="28"/>
        </w:rPr>
        <w:t xml:space="preserve"> 2130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7" w:h="16840" w:orient="portrait"/>
      <w:pgMar w:top="1276" w:right="567" w:bottom="1135" w:left="1134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7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2"/>
    <w:next w:val="62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2"/>
    <w:next w:val="62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2"/>
    <w:next w:val="62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2"/>
    <w:next w:val="62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2"/>
    <w:next w:val="62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2"/>
    <w:next w:val="62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2"/>
    <w:next w:val="62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2"/>
    <w:next w:val="62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2"/>
    <w:next w:val="62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2"/>
    <w:next w:val="62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2"/>
    <w:next w:val="62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2"/>
    <w:next w:val="62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2"/>
    <w:next w:val="62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2"/>
    <w:next w:val="62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rPr>
      <w:sz w:val="24"/>
      <w:szCs w:val="24"/>
      <w:lang w:val="ru-RU" w:eastAsia="ru-RU" w:bidi="ar-SA"/>
    </w:rPr>
  </w:style>
  <w:style w:type="character" w:styleId="623">
    <w:name w:val="Основной шрифт абзаца"/>
    <w:next w:val="623"/>
    <w:link w:val="622"/>
    <w:semiHidden/>
  </w:style>
  <w:style w:type="table" w:styleId="624">
    <w:name w:val="Обычная таблица"/>
    <w:next w:val="624"/>
    <w:link w:val="622"/>
    <w:semiHidden/>
    <w:tblPr/>
  </w:style>
  <w:style w:type="numbering" w:styleId="625">
    <w:name w:val="Нет списка"/>
    <w:next w:val="625"/>
    <w:link w:val="622"/>
    <w:semiHidden/>
  </w:style>
  <w:style w:type="paragraph" w:styleId="626">
    <w:name w:val="Default"/>
    <w:next w:val="626"/>
    <w:link w:val="622"/>
    <w:rPr>
      <w:color w:val="000000"/>
      <w:sz w:val="24"/>
      <w:szCs w:val="24"/>
      <w:lang w:val="ru-RU" w:eastAsia="ru-RU" w:bidi="ar-SA"/>
    </w:rPr>
  </w:style>
  <w:style w:type="paragraph" w:styleId="627">
    <w:name w:val="Верхний колонтитул"/>
    <w:basedOn w:val="622"/>
    <w:next w:val="627"/>
    <w:link w:val="628"/>
    <w:pPr>
      <w:tabs>
        <w:tab w:val="center" w:pos="4677" w:leader="none"/>
        <w:tab w:val="right" w:pos="9355" w:leader="none"/>
      </w:tabs>
    </w:pPr>
  </w:style>
  <w:style w:type="character" w:styleId="628">
    <w:name w:val="Верхний колонтитул Знак"/>
    <w:next w:val="628"/>
    <w:link w:val="627"/>
    <w:rPr>
      <w:sz w:val="24"/>
      <w:szCs w:val="24"/>
    </w:rPr>
  </w:style>
  <w:style w:type="paragraph" w:styleId="629">
    <w:name w:val="Нижний колонтитул"/>
    <w:basedOn w:val="622"/>
    <w:next w:val="629"/>
    <w:link w:val="630"/>
    <w:pPr>
      <w:tabs>
        <w:tab w:val="center" w:pos="4677" w:leader="none"/>
        <w:tab w:val="right" w:pos="9355" w:leader="none"/>
      </w:tabs>
    </w:pPr>
  </w:style>
  <w:style w:type="character" w:styleId="630">
    <w:name w:val="Нижний колонтитул Знак"/>
    <w:next w:val="630"/>
    <w:link w:val="629"/>
    <w:rPr>
      <w:sz w:val="24"/>
      <w:szCs w:val="24"/>
    </w:rPr>
  </w:style>
  <w:style w:type="paragraph" w:styleId="631">
    <w:name w:val="ConsPlusNormal"/>
    <w:next w:val="631"/>
    <w:link w:val="622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1376" w:default="1">
    <w:name w:val="Default Paragraph Font"/>
    <w:uiPriority w:val="1"/>
    <w:semiHidden/>
    <w:unhideWhenUsed/>
  </w:style>
  <w:style w:type="numbering" w:styleId="1377" w:default="1">
    <w:name w:val="No List"/>
    <w:uiPriority w:val="99"/>
    <w:semiHidden/>
    <w:unhideWhenUsed/>
  </w:style>
  <w:style w:type="table" w:styleId="13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Reanimator EE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подключение к системе теплоснабжения:</dc:title>
  <dc:creator>Pc</dc:creator>
  <cp:lastModifiedBy>prusov.oleg@ogk2.energy</cp:lastModifiedBy>
  <cp:revision>5</cp:revision>
  <dcterms:created xsi:type="dcterms:W3CDTF">2021-12-16T12:41:00Z</dcterms:created>
  <dcterms:modified xsi:type="dcterms:W3CDTF">2025-12-19T10:57:04Z</dcterms:modified>
  <cp:version>983040</cp:version>
</cp:coreProperties>
</file>