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-284"/>
        <w:jc w:val="center"/>
        <w:rPr>
          <w:rFonts w:ascii="Tempora LGC Uni" w:hAnsi="Tempora LGC Uni" w:cs="Tempora LGC Uni"/>
          <w:b/>
          <w:color w:val="000000"/>
          <w:sz w:val="20"/>
          <w:szCs w:val="20"/>
        </w:rPr>
      </w:pPr>
      <w:r>
        <w:rPr>
          <w:rFonts w:ascii="Tempora LGC Uni" w:hAnsi="Tempora LGC Uni" w:eastAsia="Tempora LGC Uni" w:cs="Tempora LGC Uni"/>
          <w:b/>
          <w:bCs/>
          <w:sz w:val="20"/>
          <w:szCs w:val="20"/>
        </w:rPr>
        <w:t xml:space="preserve">Сообщение о существенном </w:t>
      </w:r>
      <w:r>
        <w:rPr>
          <w:rFonts w:ascii="Tempora LGC Uni" w:hAnsi="Tempora LGC Uni" w:eastAsia="Tempora LGC Uni" w:cs="Tempora LGC Uni"/>
          <w:b/>
          <w:bCs/>
          <w:sz w:val="20"/>
          <w:szCs w:val="20"/>
        </w:rPr>
        <w:t xml:space="preserve">факте</w:t>
      </w:r>
      <w:r>
        <w:rPr>
          <w:rFonts w:ascii="Tempora LGC Uni" w:hAnsi="Tempora LGC Uni" w:eastAsia="Tempora LGC Uni" w:cs="Tempora LGC Uni"/>
          <w:b/>
          <w:bCs/>
          <w:sz w:val="20"/>
          <w:szCs w:val="20"/>
        </w:rPr>
        <w:br/>
        <w:t xml:space="preserve">«</w:t>
      </w:r>
      <w:r>
        <w:rPr>
          <w:rFonts w:ascii="Tempora LGC Uni" w:hAnsi="Tempora LGC Uni" w:eastAsia="Tempora LGC Uni" w:cs="Tempora LGC Uni"/>
          <w:b/>
          <w:color w:val="000000"/>
          <w:sz w:val="20"/>
          <w:szCs w:val="20"/>
        </w:rPr>
        <w:t xml:space="preserve">Об отдельных решениях, принятых советом директоров эмитента»</w:t>
      </w:r>
      <w:r>
        <w:rPr>
          <w:rFonts w:ascii="Tempora LGC Uni" w:hAnsi="Tempora LGC Uni" w:eastAsia="Tempora LGC Uni" w:cs="Tempora LGC Uni"/>
          <w:b/>
          <w:color w:val="000000"/>
          <w:sz w:val="20"/>
          <w:szCs w:val="20"/>
        </w:rPr>
      </w:r>
      <w:r>
        <w:rPr>
          <w:rFonts w:ascii="Tempora LGC Uni" w:hAnsi="Tempora LGC Uni" w:cs="Tempora LGC Uni"/>
          <w:b/>
          <w:color w:val="000000"/>
          <w:sz w:val="20"/>
          <w:szCs w:val="20"/>
        </w:rPr>
      </w:r>
    </w:p>
    <w:p>
      <w:pPr>
        <w:contextualSpacing/>
        <w:ind w:left="-284"/>
        <w:jc w:val="center"/>
        <w:rPr>
          <w:rFonts w:ascii="Tempora LGC Uni" w:hAnsi="Tempora LGC Uni" w:cs="Tempora LGC Uni"/>
          <w:b/>
          <w:color w:val="000000"/>
          <w:sz w:val="20"/>
          <w:szCs w:val="20"/>
        </w:rPr>
      </w:pPr>
      <w:r>
        <w:rPr>
          <w:rFonts w:ascii="Tempora LGC Uni" w:hAnsi="Tempora LGC Uni" w:eastAsia="Tempora LGC Uni" w:cs="Tempora LGC Uni"/>
          <w:b/>
          <w:color w:val="000000"/>
          <w:sz w:val="20"/>
          <w:szCs w:val="20"/>
        </w:rPr>
      </w:r>
      <w:r>
        <w:rPr>
          <w:rFonts w:ascii="Tempora LGC Uni" w:hAnsi="Tempora LGC Uni" w:eastAsia="Tempora LGC Uni" w:cs="Tempora LGC Uni"/>
          <w:b/>
          <w:color w:val="000000"/>
          <w:sz w:val="20"/>
          <w:szCs w:val="20"/>
        </w:rPr>
      </w:r>
      <w:r>
        <w:rPr>
          <w:rFonts w:ascii="Tempora LGC Uni" w:hAnsi="Tempora LGC Uni" w:cs="Tempora LGC Uni"/>
          <w:b/>
          <w:color w:val="000000"/>
          <w:sz w:val="20"/>
          <w:szCs w:val="20"/>
        </w:rPr>
      </w:r>
    </w:p>
    <w:tbl>
      <w:tblPr>
        <w:tblW w:w="10348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102"/>
      </w:tblGrid>
      <w:tr>
        <w:tblPrEx/>
        <w:trPr/>
        <w:tc>
          <w:tcPr>
            <w:gridSpan w:val="2"/>
            <w:tcW w:w="10348" w:type="dxa"/>
            <w:textDirection w:val="lrTb"/>
            <w:noWrap w:val="false"/>
          </w:tcPr>
          <w:p>
            <w:pPr>
              <w:contextualSpacing/>
              <w:ind w:left="-61"/>
              <w:jc w:val="center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 Общие сведения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  <w:tr>
        <w:tblPrEx/>
        <w:trPr>
          <w:trHeight w:val="634"/>
        </w:trPr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Style w:val="990"/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196605, г. Санкт-Петербург,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вн.тер.г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. поселок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Шушары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, ш Петербургское, д. 66, к. 1, литера А, этаж 7,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помещ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. 36-Н,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каб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. 701</w:t>
            </w:r>
            <w:r>
              <w:rPr>
                <w:rStyle w:val="990"/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1.3. Основной государственный регистрационный номер (ОГРН) эмитента (при наличии) 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1052600002180</w:t>
            </w:r>
            <w:r>
              <w:rPr>
                <w:rFonts w:ascii="Tempora LGC Uni" w:hAnsi="Tempora LGC Uni" w:eastAsia="Tempora LGC Uni" w:cs="Tempora LGC Uni"/>
                <w:b/>
                <w:bCs/>
                <w:i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2607018122</w:t>
            </w:r>
            <w:r>
              <w:rPr>
                <w:rFonts w:ascii="Tempora LGC Uni" w:hAnsi="Tempora LGC Uni" w:eastAsia="Tempora LGC Uni" w:cs="Tempora LGC Uni"/>
                <w:b/>
                <w:bCs/>
                <w:i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1.5. Уникальный код эмитента, присвоенный Банком России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65105-D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right="57"/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hyperlink r:id="rId12" w:tooltip="https://www.ogk2.ru" w:history="1">
              <w:r>
                <w:rPr>
                  <w:rStyle w:val="980"/>
                  <w:rFonts w:ascii="Tempora LGC Uni" w:hAnsi="Tempora LGC Uni" w:eastAsia="Tempora LGC Uni" w:cs="Tempora LGC Uni"/>
                  <w:b/>
                  <w:bCs/>
                  <w:iCs/>
                  <w:sz w:val="20"/>
                  <w:szCs w:val="20"/>
                </w:rPr>
                <w:t xml:space="preserve">http</w:t>
              </w:r>
              <w:r>
                <w:rPr>
                  <w:rStyle w:val="980"/>
                  <w:rFonts w:ascii="Tempora LGC Uni" w:hAnsi="Tempora LGC Uni" w:eastAsia="Tempora LGC Uni" w:cs="Tempora LGC Uni"/>
                  <w:b/>
                  <w:bCs/>
                  <w:iCs/>
                  <w:sz w:val="20"/>
                  <w:szCs w:val="20"/>
                  <w:lang w:val="en-US"/>
                </w:rPr>
                <w:t xml:space="preserve">s</w:t>
              </w:r>
              <w:r>
                <w:rPr>
                  <w:rStyle w:val="980"/>
                  <w:rFonts w:ascii="Tempora LGC Uni" w:hAnsi="Tempora LGC Uni" w:eastAsia="Tempora LGC Uni" w:cs="Tempora LGC Uni"/>
                  <w:b/>
                  <w:bCs/>
                  <w:iCs/>
                  <w:sz w:val="20"/>
                  <w:szCs w:val="20"/>
                </w:rPr>
                <w:t xml:space="preserve">://www.ogk2.ru</w:t>
              </w:r>
            </w:hyperlink>
            <w:r>
              <w:rPr>
                <w:rFonts w:ascii="Tempora LGC Uni" w:hAnsi="Tempora LGC Uni" w:eastAsia="Tempora LGC Uni" w:cs="Tempora LGC Uni"/>
                <w:b/>
                <w:bCs/>
                <w:i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r>
          </w:p>
          <w:p>
            <w:pPr>
              <w:contextualSpacing/>
              <w:ind w:right="85"/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hyperlink r:id="rId13" w:tooltip="https://www.e-disclosure.ru/portal/company.aspx?id=7234" w:history="1">
              <w:r>
                <w:rPr>
                  <w:rStyle w:val="980"/>
                  <w:rFonts w:ascii="Tempora LGC Uni" w:hAnsi="Tempora LGC Uni" w:eastAsia="Tempora LGC Uni" w:cs="Tempora LGC Uni"/>
                  <w:b/>
                  <w:bCs/>
                  <w:iCs/>
                  <w:sz w:val="20"/>
                  <w:szCs w:val="20"/>
                </w:rPr>
                <w:t xml:space="preserve">http</w:t>
              </w:r>
              <w:r>
                <w:rPr>
                  <w:rStyle w:val="980"/>
                  <w:rFonts w:ascii="Tempora LGC Uni" w:hAnsi="Tempora LGC Uni" w:eastAsia="Tempora LGC Uni" w:cs="Tempora LGC Uni"/>
                  <w:b/>
                  <w:bCs/>
                  <w:iCs/>
                  <w:sz w:val="20"/>
                  <w:szCs w:val="20"/>
                  <w:lang w:val="en-US"/>
                </w:rPr>
                <w:t xml:space="preserve">s</w:t>
              </w:r>
              <w:r>
                <w:rPr>
                  <w:rStyle w:val="980"/>
                  <w:rFonts w:ascii="Tempora LGC Uni" w:hAnsi="Tempora LGC Uni" w:eastAsia="Tempora LGC Uni" w:cs="Tempora LGC Uni"/>
                  <w:b/>
                  <w:bCs/>
                  <w:iCs/>
                  <w:sz w:val="20"/>
                  <w:szCs w:val="20"/>
                </w:rPr>
                <w:t xml:space="preserve">://www.e-disclosure.ru/portal/company.aspx?id=7234</w:t>
              </w:r>
            </w:hyperlink>
            <w:r>
              <w:rPr>
                <w:rFonts w:ascii="Tempora LGC Uni" w:hAnsi="Tempora LGC Uni" w:eastAsia="Tempora LGC Uni" w:cs="Tempora LGC Uni"/>
                <w:b/>
                <w:bCs/>
                <w:i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1.7. Дата наступления события (существенного факта), о котором соста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влено сообщение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02.10.2025</w:t>
            </w:r>
            <w:r>
              <w:rPr>
                <w:rStyle w:val="980"/>
                <w:rFonts w:ascii="Tempora LGC Uni" w:hAnsi="Tempora LGC Uni" w:eastAsia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</w:p>
        </w:tc>
      </w:tr>
    </w:tbl>
    <w:p>
      <w:pPr>
        <w:contextualSpacing/>
        <w:rPr>
          <w:rFonts w:ascii="Tempora LGC Uni" w:hAnsi="Tempora LGC Uni" w:cs="Tempora LGC Uni"/>
          <w:sz w:val="20"/>
          <w:szCs w:val="20"/>
        </w:rPr>
      </w:pPr>
      <w:r>
        <w:rPr>
          <w:rFonts w:ascii="Tempora LGC Uni" w:hAnsi="Tempora LGC Uni" w:eastAsia="Tempora LGC Uni" w:cs="Tempora LGC Uni"/>
          <w:sz w:val="20"/>
          <w:szCs w:val="20"/>
        </w:rPr>
      </w:r>
      <w:r>
        <w:rPr>
          <w:rFonts w:ascii="Tempora LGC Uni" w:hAnsi="Tempora LGC Uni" w:eastAsia="Tempora LGC Uni" w:cs="Tempora LGC Uni"/>
          <w:sz w:val="20"/>
          <w:szCs w:val="20"/>
        </w:rPr>
      </w:r>
      <w:r>
        <w:rPr>
          <w:rFonts w:ascii="Tempora LGC Uni" w:hAnsi="Tempora LGC Uni" w:cs="Tempora LGC Uni"/>
          <w:sz w:val="20"/>
          <w:szCs w:val="20"/>
        </w:rPr>
      </w:r>
    </w:p>
    <w:tbl>
      <w:tblPr>
        <w:tblW w:w="10343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>
        <w:tblPrEx/>
        <w:trPr/>
        <w:tc>
          <w:tcPr>
            <w:tcW w:w="1034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2. Содержание сообщения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  <w:tr>
        <w:tblPrEx/>
        <w:trPr>
          <w:trHeight w:val="554"/>
        </w:trPr>
        <w:tc>
          <w:tcPr>
            <w:tcW w:w="10343" w:type="dxa"/>
            <w:textDirection w:val="lrTb"/>
            <w:noWrap w:val="false"/>
          </w:tcPr>
          <w:p>
            <w:pPr>
              <w:contextualSpacing/>
              <w:ind w:left="0" w:right="0"/>
              <w:jc w:val="both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2.1. </w:t>
            </w:r>
            <w:r>
              <w:rPr>
                <w:rFonts w:ascii="Tempora LGC Uni" w:hAnsi="Tempora LGC Uni" w:eastAsia="Tempora LGC Uni" w:cs="Tempora LGC Uni" w:eastAsiaTheme="minorHAnsi"/>
                <w:sz w:val="20"/>
                <w:szCs w:val="20"/>
                <w:lang w:eastAsia="en-US"/>
              </w:rPr>
              <w:t xml:space="preserve">Сведения о кворуме заседания Совета директоров эмитента: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contextualSpacing/>
              <w:ind w:left="0" w:right="0"/>
              <w:jc w:val="both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В заочном голосовании приняли участие 11 из 11 членов Совета директоров ПАО «ОГК-2», приславшие в установленный срок заполненные бюллетени для голосования. КВОРУМ ИМЕЛСЯ.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contextualSpacing/>
              <w:ind w:left="0" w:right="0"/>
              <w:jc w:val="both"/>
              <w:spacing w:before="0" w:beforeAutospacing="0" w:after="0" w:afterAutospacing="0"/>
              <w:tabs>
                <w:tab w:val="left" w:pos="547" w:leader="none"/>
              </w:tabs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2.2. Содержание решений, принятых советом директоров эмитента: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pStyle w:val="981"/>
              <w:contextualSpacing/>
              <w:ind w:left="0" w:right="0"/>
              <w:jc w:val="both"/>
              <w:spacing w:before="0" w:beforeAutospacing="0" w:after="0" w:afterAutospacing="0"/>
              <w:widowControl w:val="off"/>
              <w:rPr>
                <w:rFonts w:ascii="Tempora LGC Uni" w:hAnsi="Tempora LGC Uni" w:cs="Tempora LGC Uni"/>
                <w:b/>
                <w:bCs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Вопрос: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  <w:highlight w:val="none"/>
              </w:rPr>
            </w:r>
          </w:p>
          <w:p>
            <w:pPr>
              <w:pStyle w:val="992"/>
              <w:ind w:left="0" w:right="0" w:firstLine="0"/>
              <w:spacing w:before="20" w:after="20"/>
              <w:tabs>
                <w:tab w:val="left" w:pos="0" w:leader="none"/>
              </w:tabs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1.Об определении закупочной политики в Обществе.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pStyle w:val="992"/>
              <w:spacing w:before="20" w:after="20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1.1.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О внесении изменений в Годовую комплексную программу закупок Общества под нужды 2025 года.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ind w:left="113"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bCs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Результаты голосования: За – 11, 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Против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 – 0, Воздержался – 0, не учитывались при голосовании – 0.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</w:r>
          </w:p>
          <w:p>
            <w:pPr>
              <w:contextualSpacing/>
              <w:ind w:left="0" w:right="0"/>
              <w:jc w:val="both"/>
              <w:spacing w:before="0" w:beforeAutospacing="0" w:after="0" w:afterAutospacing="0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sz w:val="12"/>
                <w:szCs w:val="12"/>
              </w:rPr>
              <w:suppressLineNumbers w:val="0"/>
            </w:pPr>
            <w:r>
              <w:rPr>
                <w:rFonts w:ascii="Tempora LGC Uni" w:hAnsi="Tempora LGC Uni" w:cs="Tempora LGC Uni"/>
                <w:sz w:val="12"/>
                <w:szCs w:val="12"/>
              </w:rPr>
            </w:r>
            <w:r>
              <w:rPr>
                <w:rFonts w:ascii="Tempora LGC Uni" w:hAnsi="Tempora LGC Uni" w:cs="Tempora LGC Uni"/>
                <w:sz w:val="12"/>
                <w:szCs w:val="12"/>
              </w:rPr>
            </w:r>
          </w:p>
          <w:p>
            <w:pPr>
              <w:pStyle w:val="989"/>
              <w:contextualSpacing/>
              <w:ind w:left="0" w:right="0"/>
              <w:jc w:val="both"/>
              <w:spacing w:before="0" w:beforeAutospacing="0" w:after="0" w:afterAutospacing="0"/>
              <w:rPr>
                <w:rFonts w:ascii="Tempora LGC Uni" w:hAnsi="Tempora LGC Uni" w:cs="Tempora LGC Uni"/>
                <w:b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Принятое решение: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</w:p>
          <w:p>
            <w:pPr>
              <w:pStyle w:val="992"/>
              <w:spacing w:before="20" w:after="20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Утвердить корректировку Годовой комплексной программы закупок Общества под нужды 2025 года в соответствии с Приложением № 1.1 к  решению Совета директоров.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pStyle w:val="992"/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cs="Tempora LGC Uni"/>
                <w:spacing w:val="-4"/>
                <w:sz w:val="16"/>
                <w:szCs w:val="16"/>
                <w:highlight w:val="none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pacing w:val="-4"/>
                <w:sz w:val="16"/>
                <w:szCs w:val="16"/>
                <w:highlight w:val="none"/>
              </w:rPr>
            </w:r>
            <w:r>
              <w:rPr>
                <w:rFonts w:ascii="Tempora LGC Uni" w:hAnsi="Tempora LGC Uni" w:cs="Tempora LGC Uni"/>
                <w:spacing w:val="-4"/>
                <w:sz w:val="16"/>
                <w:szCs w:val="16"/>
                <w:highlight w:val="none"/>
              </w:rPr>
            </w:r>
          </w:p>
          <w:p>
            <w:pPr>
              <w:pStyle w:val="992"/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cs="Tempora LGC Uni"/>
                <w:b/>
                <w:bCs/>
                <w:spacing w:val="-4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bCs/>
                <w:spacing w:val="-4"/>
                <w:sz w:val="20"/>
                <w:szCs w:val="20"/>
                <w:highlight w:val="none"/>
              </w:rPr>
              <w:t xml:space="preserve">Вопрос:</w:t>
            </w:r>
            <w:r>
              <w:rPr>
                <w:rFonts w:ascii="Tempora LGC Uni" w:hAnsi="Tempora LGC Uni" w:eastAsia="Tempora LGC Uni" w:cs="Tempora LGC Uni"/>
                <w:b/>
                <w:bCs/>
                <w:spacing w:val="-4"/>
                <w:sz w:val="20"/>
                <w:szCs w:val="20"/>
                <w:highlight w:val="none"/>
              </w:rPr>
            </w:r>
          </w:p>
          <w:p>
            <w:pPr>
              <w:pStyle w:val="992"/>
              <w:spacing w:before="20" w:after="20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pacing w:val="-4"/>
                <w:sz w:val="20"/>
                <w:szCs w:val="20"/>
                <w:highlight w:val="none"/>
              </w:rPr>
              <w:t xml:space="preserve">2. </w:t>
            </w:r>
            <w:r>
              <w:rPr>
                <w:rFonts w:ascii="Tempora LGC Uni" w:hAnsi="Tempora LGC Uni" w:eastAsia="Tempora LGC Uni" w:cs="Tempora LGC Uni"/>
                <w:spacing w:val="-4"/>
                <w:sz w:val="20"/>
                <w:szCs w:val="20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О рассмотрении отчета о выполнении Плана мероприятий по повышению операционной эффективности и оптимизации расходов ПАО «ОГК-2» за 2024 год.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ind w:left="0"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bCs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Результаты голосования: За – 11, 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Против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 – 0, Воздержался – 0, не учитывались при голосовании – 0.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</w:r>
          </w:p>
          <w:p>
            <w:pPr>
              <w:pStyle w:val="997"/>
              <w:spacing w:before="20" w:after="20"/>
              <w:rPr>
                <w:rFonts w:ascii="Tempora LGC Uni" w:hAnsi="Tempora LGC Uni" w:cs="Tempora LGC Uni"/>
                <w:sz w:val="16"/>
                <w:szCs w:val="16"/>
              </w:rPr>
            </w:pPr>
            <w:r>
              <w:rPr>
                <w:rFonts w:ascii="Tempora LGC Uni" w:hAnsi="Tempora LGC Uni" w:eastAsia="Tempora LGC Uni" w:cs="Tempora LGC Uni"/>
                <w:sz w:val="16"/>
                <w:szCs w:val="16"/>
                <w:highlight w:val="none"/>
              </w:rPr>
            </w:r>
            <w:r>
              <w:rPr>
                <w:rFonts w:ascii="Tempora LGC Uni" w:hAnsi="Tempora LGC Uni" w:cs="Tempora LGC Uni"/>
                <w:sz w:val="16"/>
                <w:szCs w:val="16"/>
              </w:rPr>
            </w:r>
          </w:p>
          <w:p>
            <w:pPr>
              <w:pStyle w:val="997"/>
              <w:spacing w:before="20" w:after="20"/>
              <w:rPr>
                <w:rFonts w:ascii="Tempora LGC Uni" w:hAnsi="Tempora LGC Uni" w:cs="Tempora LGC Uni"/>
                <w:sz w:val="20"/>
                <w:szCs w:val="20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Решение: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pStyle w:val="992"/>
              <w:spacing w:before="20" w:after="20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Утвердить отчет о выполнении Плана мероприятий по повышению операционной эффективности и оптимизации расходов ПАО «ОГК-2» за 2024 год, в 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соответствии с Приложением № 2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 к решению Совета директоров.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pStyle w:val="992"/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cs="Tempora LGC Uni"/>
                <w:spacing w:val="-4"/>
                <w:sz w:val="16"/>
                <w:szCs w:val="16"/>
                <w:highlight w:val="none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pacing w:val="-4"/>
                <w:sz w:val="16"/>
                <w:szCs w:val="16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spacing w:val="-4"/>
                <w:sz w:val="20"/>
                <w:szCs w:val="20"/>
                <w:highlight w:val="none"/>
              </w:rPr>
            </w:r>
            <w:r>
              <w:rPr>
                <w:rFonts w:ascii="Tempora LGC Uni" w:hAnsi="Tempora LGC Uni" w:cs="Tempora LGC Uni"/>
                <w:spacing w:val="-4"/>
                <w:sz w:val="16"/>
                <w:szCs w:val="16"/>
                <w:highlight w:val="none"/>
              </w:rPr>
            </w:r>
          </w:p>
          <w:p>
            <w:pPr>
              <w:pStyle w:val="997"/>
              <w:spacing w:before="20" w:after="20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ВОПРОС № 3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pStyle w:val="992"/>
              <w:spacing w:before="20" w:after="20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О рассмотрении отчета о выполнении Плана мероприятий по повышению операционной эффективности и оптимизации расходов ПАО «ОГК-2» за 6 месяцев 2025 года.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ind w:left="0"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bCs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Результаты голосования: За – 11, 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Против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 – 0, Воздержался – 0, не учитывались при голосовании – 0.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</w:r>
          </w:p>
          <w:p>
            <w:pPr>
              <w:pStyle w:val="992"/>
              <w:spacing w:before="20" w:after="20"/>
              <w:rPr>
                <w:rFonts w:ascii="Tempora LGC Uni" w:hAnsi="Tempora LGC Uni" w:cs="Tempora LGC Uni"/>
                <w:sz w:val="16"/>
                <w:szCs w:val="16"/>
              </w:rPr>
            </w:pPr>
            <w:r>
              <w:rPr>
                <w:rFonts w:ascii="Tempora LGC Uni" w:hAnsi="Tempora LGC Uni" w:eastAsia="Tempora LGC Uni" w:cs="Tempora LGC Uni"/>
                <w:sz w:val="16"/>
                <w:szCs w:val="16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16"/>
                <w:szCs w:val="16"/>
              </w:rPr>
            </w:r>
          </w:p>
          <w:p>
            <w:pPr>
              <w:pStyle w:val="997"/>
              <w:spacing w:before="20" w:after="20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Решение: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pStyle w:val="992"/>
              <w:spacing w:before="20" w:after="20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Утвердить отчет о выполнении Плана мероприятий по повышению операционной эффективности и оптимизации расходов ПАО «ОГК-2» за 6 месяцев 2025 года, в соответствии с Приложением № 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3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 к решению Совета директоров.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</w:p>
          <w:p>
            <w:pPr>
              <w:contextualSpacing/>
              <w:ind w:left="0" w:right="0"/>
              <w:jc w:val="both"/>
              <w:spacing w:before="0" w:beforeAutospacing="0" w:after="0" w:afterAutospacing="0"/>
              <w:rPr>
                <w:rFonts w:ascii="Tempora LGC Uni" w:hAnsi="Tempora LGC Uni" w:cs="Tempora LGC Uni"/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color w:val="000000"/>
                <w:sz w:val="20"/>
                <w:szCs w:val="20"/>
              </w:rPr>
              <w:t xml:space="preserve">2.4. Дата проведения заседания совета директоров эмитента, на котором приняты решения: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 02.10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.2025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</w:rPr>
            </w:r>
          </w:p>
          <w:p>
            <w:pPr>
              <w:contextualSpacing/>
              <w:ind w:left="0" w:right="0"/>
              <w:jc w:val="both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color w:val="000000"/>
                <w:sz w:val="20"/>
                <w:szCs w:val="20"/>
              </w:rPr>
              <w:t xml:space="preserve">2.5</w:t>
            </w:r>
            <w:r>
              <w:rPr>
                <w:rFonts w:ascii="Tempora LGC Uni" w:hAnsi="Tempora LGC Uni" w:eastAsia="Tempora LGC Uni" w:cs="Tempora LGC Uni"/>
                <w:color w:val="000000"/>
                <w:sz w:val="20"/>
                <w:szCs w:val="20"/>
              </w:rPr>
              <w:t xml:space="preserve">. Дата составления и номер протокола заседания совета директоров эмитента, на котором приняты решения: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ротокол от 02.10.2025 № 360.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</w:tbl>
    <w:p>
      <w:pPr>
        <w:contextualSpacing/>
        <w:ind w:left="0" w:right="0"/>
        <w:spacing w:before="0" w:beforeAutospacing="0" w:after="0" w:afterAutospacing="0"/>
        <w:tabs>
          <w:tab w:val="left" w:pos="2895" w:leader="none"/>
        </w:tabs>
        <w:rPr>
          <w:rFonts w:ascii="Tempora LGC Uni" w:hAnsi="Tempora LGC Uni" w:cs="Tempora LGC Uni"/>
          <w:sz w:val="14"/>
          <w:szCs w:val="14"/>
        </w:rPr>
        <w:suppressLineNumbers w:val="0"/>
      </w:pPr>
      <w:r>
        <w:rPr>
          <w:rFonts w:ascii="Tempora LGC Uni" w:hAnsi="Tempora LGC Uni" w:eastAsia="Tempora LGC Uni" w:cs="Tempora LGC Uni"/>
          <w:sz w:val="20"/>
          <w:szCs w:val="20"/>
        </w:rPr>
      </w:r>
      <w:r>
        <w:rPr>
          <w:rFonts w:ascii="Tempora LGC Uni" w:hAnsi="Tempora LGC Uni" w:eastAsia="Tempora LGC Uni" w:cs="Tempora LGC Uni"/>
          <w:sz w:val="14"/>
          <w:szCs w:val="14"/>
        </w:rPr>
      </w:r>
      <w:r>
        <w:rPr>
          <w:rFonts w:ascii="Tempora LGC Uni" w:hAnsi="Tempora LGC Uni" w:cs="Tempora LGC Uni"/>
          <w:sz w:val="14"/>
          <w:szCs w:val="14"/>
        </w:rPr>
      </w:r>
    </w:p>
    <w:tbl>
      <w:tblPr>
        <w:tblW w:w="10343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425"/>
        <w:gridCol w:w="129"/>
        <w:gridCol w:w="1317"/>
        <w:gridCol w:w="416"/>
        <w:gridCol w:w="548"/>
        <w:gridCol w:w="968"/>
        <w:gridCol w:w="1338"/>
        <w:gridCol w:w="462"/>
        <w:gridCol w:w="3072"/>
        <w:gridCol w:w="534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3" w:type="dxa"/>
            <w:textDirection w:val="lrTb"/>
            <w:noWrap w:val="false"/>
          </w:tcPr>
          <w:p>
            <w:pPr>
              <w:contextualSpacing/>
              <w:ind w:left="0" w:right="0"/>
              <w:jc w:val="center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3. Подпись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pStyle w:val="989"/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cs="Tempora LGC Uni"/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3.1.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Начальник Управления корпоративных и имущественных отношений, действующий на основании доверенности № 78/66-н/78-2022-3-513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</w:rPr>
            </w:r>
          </w:p>
          <w:p>
            <w:pPr>
              <w:pStyle w:val="989"/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07.06.2022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contextualSpacing/>
              <w:ind w:left="0" w:right="0"/>
              <w:jc w:val="right"/>
              <w:spacing w:before="0" w:beforeAutospacing="0" w:after="0" w:afterAutospacing="0"/>
              <w:rPr>
                <w:rFonts w:ascii="Tempora LGC Uni" w:hAnsi="Tempora LGC Uni" w:cs="Tempora LGC Uni"/>
                <w:b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contextualSpacing/>
              <w:ind w:left="0" w:right="0"/>
              <w:jc w:val="right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Е.Н. Егорова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534" w:type="dxa"/>
            <w:vAlign w:val="bottom"/>
            <w:textDirection w:val="lrTb"/>
            <w:noWrap w:val="false"/>
          </w:tcPr>
          <w:p>
            <w:pPr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cs="Tempora LGC Uni"/>
                <w:b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cs="Tempora LGC Uni"/>
                <w:b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contextualSpacing/>
              <w:ind w:left="0" w:right="0"/>
              <w:jc w:val="center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(подпись)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3.2. Дата  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contextualSpacing/>
              <w:ind w:left="0" w:right="0"/>
              <w:jc w:val="center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03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29" w:type="dxa"/>
            <w:vAlign w:val="bottom"/>
            <w:textDirection w:val="lrTb"/>
            <w:noWrap w:val="false"/>
          </w:tcPr>
          <w:p>
            <w:pPr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 октября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416" w:type="dxa"/>
            <w:vAlign w:val="bottom"/>
            <w:textDirection w:val="lrTb"/>
            <w:noWrap w:val="false"/>
          </w:tcPr>
          <w:p>
            <w:pPr>
              <w:contextualSpacing/>
              <w:ind w:left="0" w:right="0"/>
              <w:jc w:val="right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20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548" w:type="dxa"/>
            <w:vAlign w:val="bottom"/>
            <w:textDirection w:val="lrTb"/>
            <w:noWrap w:val="false"/>
          </w:tcPr>
          <w:p>
            <w:pPr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25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68" w:type="dxa"/>
            <w:vAlign w:val="bottom"/>
            <w:textDirection w:val="lrTb"/>
            <w:noWrap w:val="false"/>
          </w:tcPr>
          <w:p>
            <w:pPr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vAlign w:val="bottom"/>
            <w:textDirection w:val="lrTb"/>
            <w:noWrap w:val="false"/>
          </w:tcPr>
          <w:p>
            <w:pPr>
              <w:contextualSpacing/>
              <w:ind w:left="0" w:right="0"/>
              <w:jc w:val="center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4068" w:type="dxa"/>
            <w:vAlign w:val="bottom"/>
            <w:textDirection w:val="lrTb"/>
            <w:noWrap w:val="false"/>
          </w:tcPr>
          <w:p>
            <w:pPr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even" r:id="rId9"/>
      <w:footerReference w:type="default" r:id="rId10"/>
      <w:footnotePr/>
      <w:endnotePr/>
      <w:type w:val="nextPage"/>
      <w:pgSz w:w="11906" w:h="16838" w:orient="portrait"/>
      <w:pgMar w:top="284" w:right="851" w:bottom="709" w:left="1134" w:header="284" w:footer="284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Segoe UI">
    <w:panose1 w:val="020B0503020203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8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rPr>
        <w:rStyle w:val="979"/>
      </w:rPr>
      <w:framePr w:wrap="around" w:vAnchor="text" w:hAnchor="margin" w:xAlign="center" w:y="1"/>
    </w:pPr>
    <w:r>
      <w:rPr>
        <w:rStyle w:val="979"/>
      </w:rPr>
      <w:fldChar w:fldCharType="begin"/>
    </w:r>
    <w:r>
      <w:rPr>
        <w:rStyle w:val="979"/>
      </w:rPr>
      <w:instrText xml:space="preserve">PAGE  </w:instrText>
    </w:r>
    <w:r>
      <w:rPr>
        <w:rStyle w:val="979"/>
      </w:rPr>
      <w:fldChar w:fldCharType="separate"/>
    </w:r>
    <w:r>
      <w:rPr>
        <w:rStyle w:val="979"/>
      </w:rPr>
      <w:t xml:space="preserve">3</w:t>
    </w:r>
    <w:r>
      <w:rPr>
        <w:rStyle w:val="979"/>
      </w:rPr>
      <w:fldChar w:fldCharType="end"/>
    </w:r>
    <w:r>
      <w:rPr>
        <w:rStyle w:val="979"/>
      </w:rPr>
    </w:r>
    <w:r>
      <w:rPr>
        <w:rStyle w:val="979"/>
      </w:rPr>
    </w:r>
  </w:p>
  <w:p>
    <w:pPr>
      <w:pStyle w:val="9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45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4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4" w:hanging="180"/>
      </w:pPr>
    </w:lvl>
  </w:abstractNum>
  <w:abstractNum w:abstractNumId="2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4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/>
      <w:rPr>
        <w:rFonts w:hint="default" w:ascii="Symbol" w:hAnsi="Symbol"/>
        <w:spacing w:val="0"/>
      </w:rPr>
    </w:lvl>
    <w:lvl w:ilvl="1">
      <w:start w:val="1"/>
      <w:numFmt w:val="none"/>
      <w:isLgl w:val="fals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>
      <w:start w:val="1"/>
      <w:numFmt w:val="none"/>
      <w:isLgl w:val="fals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>
      <w:start w:val="1"/>
      <w:numFmt w:val="none"/>
      <w:isLgl w:val="fals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>
      <w:start w:val="1"/>
      <w:numFmt w:val="none"/>
      <w:isLgl w:val="fals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>
      <w:start w:val="1"/>
      <w:numFmt w:val="none"/>
      <w:isLgl w:val="fals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>
      <w:start w:val="1"/>
      <w:numFmt w:val="none"/>
      <w:isLgl w:val="fals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>
      <w:start w:val="1"/>
      <w:numFmt w:val="none"/>
      <w:isLgl w:val="fals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>
      <w:start w:val="1"/>
      <w:numFmt w:val="none"/>
      <w:isLgl w:val="fals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none"/>
      <w:isLgl w:val="false"/>
      <w:suff w:val="nothing"/>
      <w:lvlText w:val=""/>
      <w:lvlJc w:val="left"/>
      <w:pPr/>
      <w:rPr>
        <w:rFonts w:cs="Times New Roman"/>
        <w:spacing w:val="0"/>
      </w:rPr>
    </w:lvl>
    <w:lvl w:ilvl="1">
      <w:start w:val="1"/>
      <w:numFmt w:val="none"/>
      <w:isLgl w:val="fals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>
      <w:start w:val="1"/>
      <w:numFmt w:val="none"/>
      <w:isLgl w:val="fals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>
      <w:start w:val="1"/>
      <w:numFmt w:val="none"/>
      <w:isLgl w:val="fals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>
      <w:start w:val="1"/>
      <w:numFmt w:val="none"/>
      <w:isLgl w:val="fals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>
      <w:start w:val="1"/>
      <w:numFmt w:val="none"/>
      <w:isLgl w:val="fals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>
      <w:start w:val="1"/>
      <w:numFmt w:val="none"/>
      <w:isLgl w:val="fals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>
      <w:start w:val="1"/>
      <w:numFmt w:val="none"/>
      <w:isLgl w:val="fals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>
      <w:start w:val="1"/>
      <w:numFmt w:val="none"/>
      <w:isLgl w:val="fals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3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none"/>
      <w:isLgl w:val="false"/>
      <w:suff w:val="nothing"/>
      <w:lvlText w:val=""/>
      <w:lvlJc w:val="left"/>
      <w:pPr/>
      <w:rPr>
        <w:rFonts w:cs="Times New Roman"/>
        <w:spacing w:val="0"/>
      </w:rPr>
    </w:lvl>
    <w:lvl w:ilvl="1">
      <w:start w:val="1"/>
      <w:numFmt w:val="none"/>
      <w:isLgl w:val="fals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>
      <w:start w:val="1"/>
      <w:numFmt w:val="none"/>
      <w:isLgl w:val="fals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>
      <w:start w:val="1"/>
      <w:numFmt w:val="none"/>
      <w:isLgl w:val="fals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>
      <w:start w:val="1"/>
      <w:numFmt w:val="none"/>
      <w:isLgl w:val="fals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>
      <w:start w:val="1"/>
      <w:numFmt w:val="none"/>
      <w:isLgl w:val="fals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>
      <w:start w:val="1"/>
      <w:numFmt w:val="none"/>
      <w:isLgl w:val="fals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>
      <w:start w:val="1"/>
      <w:numFmt w:val="none"/>
      <w:isLgl w:val="fals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>
      <w:start w:val="1"/>
      <w:numFmt w:val="none"/>
      <w:isLgl w:val="fals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45">
    <w:multiLevelType w:val="hybridMultilevel"/>
    <w:lvl w:ilvl="0">
      <w:start w:val="1"/>
      <w:numFmt w:val="none"/>
      <w:isLgl w:val="false"/>
      <w:suff w:val="nothing"/>
      <w:lvlText w:val=""/>
      <w:lvlJc w:val="left"/>
      <w:pPr/>
      <w:rPr>
        <w:rFonts w:cs="Times New Roman"/>
        <w:spacing w:val="0"/>
      </w:rPr>
    </w:lvl>
    <w:lvl w:ilvl="1">
      <w:start w:val="1"/>
      <w:numFmt w:val="none"/>
      <w:isLgl w:val="fals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>
      <w:start w:val="1"/>
      <w:numFmt w:val="none"/>
      <w:isLgl w:val="fals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>
      <w:start w:val="1"/>
      <w:numFmt w:val="none"/>
      <w:isLgl w:val="fals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>
      <w:start w:val="1"/>
      <w:numFmt w:val="none"/>
      <w:isLgl w:val="fals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>
      <w:start w:val="1"/>
      <w:numFmt w:val="none"/>
      <w:isLgl w:val="fals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>
      <w:start w:val="1"/>
      <w:numFmt w:val="none"/>
      <w:isLgl w:val="fals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>
      <w:start w:val="1"/>
      <w:numFmt w:val="none"/>
      <w:isLgl w:val="fals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>
      <w:start w:val="1"/>
      <w:numFmt w:val="none"/>
      <w:isLgl w:val="fals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46">
    <w:multiLevelType w:val="hybridMultilevel"/>
    <w:lvl w:ilvl="0">
      <w:start w:val="1"/>
      <w:numFmt w:val="none"/>
      <w:isLgl w:val="false"/>
      <w:suff w:val="nothing"/>
      <w:lvlText w:val=""/>
      <w:lvlJc w:val="left"/>
      <w:pPr/>
      <w:rPr>
        <w:rFonts w:cs="Times New Roman"/>
        <w:spacing w:val="0"/>
      </w:rPr>
    </w:lvl>
    <w:lvl w:ilvl="1">
      <w:start w:val="1"/>
      <w:numFmt w:val="none"/>
      <w:isLgl w:val="fals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>
      <w:start w:val="1"/>
      <w:numFmt w:val="none"/>
      <w:isLgl w:val="fals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>
      <w:start w:val="1"/>
      <w:numFmt w:val="none"/>
      <w:isLgl w:val="fals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>
      <w:start w:val="1"/>
      <w:numFmt w:val="none"/>
      <w:isLgl w:val="fals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>
      <w:start w:val="1"/>
      <w:numFmt w:val="none"/>
      <w:isLgl w:val="fals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>
      <w:start w:val="1"/>
      <w:numFmt w:val="none"/>
      <w:isLgl w:val="fals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>
      <w:start w:val="1"/>
      <w:numFmt w:val="none"/>
      <w:isLgl w:val="fals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>
      <w:start w:val="1"/>
      <w:numFmt w:val="none"/>
      <w:isLgl w:val="fals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8"/>
  </w:num>
  <w:num w:numId="2">
    <w:abstractNumId w:val="14"/>
  </w:num>
  <w:num w:numId="3">
    <w:abstractNumId w:val="24"/>
  </w:num>
  <w:num w:numId="4">
    <w:abstractNumId w:val="7"/>
  </w:num>
  <w:num w:numId="5">
    <w:abstractNumId w:val="3"/>
  </w:num>
  <w:num w:numId="6">
    <w:abstractNumId w:val="19"/>
  </w:num>
  <w:num w:numId="7">
    <w:abstractNumId w:val="9"/>
  </w:num>
  <w:num w:numId="8">
    <w:abstractNumId w:val="21"/>
  </w:num>
  <w:num w:numId="9">
    <w:abstractNumId w:val="13"/>
  </w:num>
  <w:num w:numId="10">
    <w:abstractNumId w:val="30"/>
  </w:num>
  <w:num w:numId="11">
    <w:abstractNumId w:val="16"/>
  </w:num>
  <w:num w:numId="12">
    <w:abstractNumId w:val="20"/>
  </w:num>
  <w:num w:numId="13">
    <w:abstractNumId w:val="38"/>
  </w:num>
  <w:num w:numId="14">
    <w:abstractNumId w:val="15"/>
  </w:num>
  <w:num w:numId="15">
    <w:abstractNumId w:val="34"/>
  </w:num>
  <w:num w:numId="16">
    <w:abstractNumId w:val="33"/>
  </w:num>
  <w:num w:numId="17">
    <w:abstractNumId w:val="17"/>
  </w:num>
  <w:num w:numId="18">
    <w:abstractNumId w:val="27"/>
  </w:num>
  <w:num w:numId="19">
    <w:abstractNumId w:val="32"/>
  </w:num>
  <w:num w:numId="20">
    <w:abstractNumId w:val="28"/>
  </w:num>
  <w:num w:numId="21">
    <w:abstractNumId w:val="12"/>
  </w:num>
  <w:num w:numId="22">
    <w:abstractNumId w:val="39"/>
  </w:num>
  <w:num w:numId="23">
    <w:abstractNumId w:val="35"/>
  </w:num>
  <w:num w:numId="24">
    <w:abstractNumId w:val="22"/>
  </w:num>
  <w:num w:numId="25">
    <w:abstractNumId w:val="1"/>
  </w:num>
  <w:num w:numId="26">
    <w:abstractNumId w:val="6"/>
  </w:num>
  <w:num w:numId="27">
    <w:abstractNumId w:val="10"/>
  </w:num>
  <w:num w:numId="28">
    <w:abstractNumId w:val="0"/>
  </w:num>
  <w:num w:numId="29">
    <w:abstractNumId w:val="4"/>
  </w:num>
  <w:num w:numId="30">
    <w:abstractNumId w:val="40"/>
  </w:num>
  <w:num w:numId="31">
    <w:abstractNumId w:val="37"/>
  </w:num>
  <w:num w:numId="32">
    <w:abstractNumId w:val="29"/>
  </w:num>
  <w:num w:numId="33">
    <w:abstractNumId w:val="18"/>
  </w:num>
  <w:num w:numId="34">
    <w:abstractNumId w:val="25"/>
  </w:num>
  <w:num w:numId="35">
    <w:abstractNumId w:val="26"/>
  </w:num>
  <w:num w:numId="36">
    <w:abstractNumId w:val="11"/>
  </w:num>
  <w:num w:numId="37">
    <w:abstractNumId w:val="23"/>
  </w:num>
  <w:num w:numId="38">
    <w:abstractNumId w:val="2"/>
  </w:num>
  <w:num w:numId="39">
    <w:abstractNumId w:val="36"/>
  </w:num>
  <w:num w:numId="40">
    <w:abstractNumId w:val="5"/>
  </w:num>
  <w:num w:numId="41">
    <w:abstractNumId w:val="31"/>
  </w:num>
  <w:num w:numId="42">
    <w:abstractNumId w:val="41"/>
  </w:num>
  <w:num w:numId="43">
    <w:abstractNumId w:val="42"/>
  </w:num>
  <w:num w:numId="44">
    <w:abstractNumId w:val="43"/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87">
    <w:name w:val="Heading 1"/>
    <w:basedOn w:val="786"/>
    <w:next w:val="786"/>
    <w:link w:val="8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8">
    <w:name w:val="Heading 2"/>
    <w:basedOn w:val="786"/>
    <w:next w:val="786"/>
    <w:link w:val="8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9">
    <w:name w:val="Heading 3"/>
    <w:basedOn w:val="786"/>
    <w:next w:val="786"/>
    <w:link w:val="8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0">
    <w:name w:val="Heading 4"/>
    <w:basedOn w:val="786"/>
    <w:next w:val="786"/>
    <w:link w:val="8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1">
    <w:name w:val="Heading 5"/>
    <w:basedOn w:val="786"/>
    <w:next w:val="786"/>
    <w:link w:val="8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2">
    <w:name w:val="Heading 6"/>
    <w:basedOn w:val="786"/>
    <w:next w:val="786"/>
    <w:link w:val="8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3">
    <w:name w:val="Heading 7"/>
    <w:basedOn w:val="786"/>
    <w:next w:val="786"/>
    <w:link w:val="8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4">
    <w:name w:val="Heading 8"/>
    <w:basedOn w:val="786"/>
    <w:next w:val="786"/>
    <w:link w:val="8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5">
    <w:name w:val="Heading 9"/>
    <w:basedOn w:val="786"/>
    <w:next w:val="786"/>
    <w:link w:val="8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6" w:default="1">
    <w:name w:val="Default Paragraph Font"/>
    <w:uiPriority w:val="1"/>
    <w:unhideWhenUsed/>
  </w:style>
  <w:style w:type="table" w:styleId="7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8" w:default="1">
    <w:name w:val="No List"/>
    <w:uiPriority w:val="99"/>
    <w:semiHidden/>
    <w:unhideWhenUsed/>
  </w:style>
  <w:style w:type="character" w:styleId="799" w:customStyle="1">
    <w:name w:val="Heading 1 Char"/>
    <w:basedOn w:val="796"/>
    <w:uiPriority w:val="9"/>
    <w:rPr>
      <w:rFonts w:ascii="Arial" w:hAnsi="Arial" w:eastAsia="Arial" w:cs="Arial"/>
      <w:sz w:val="40"/>
      <w:szCs w:val="40"/>
    </w:rPr>
  </w:style>
  <w:style w:type="character" w:styleId="800" w:customStyle="1">
    <w:name w:val="Heading 2 Char"/>
    <w:basedOn w:val="796"/>
    <w:uiPriority w:val="9"/>
    <w:rPr>
      <w:rFonts w:ascii="Arial" w:hAnsi="Arial" w:eastAsia="Arial" w:cs="Arial"/>
      <w:sz w:val="34"/>
    </w:rPr>
  </w:style>
  <w:style w:type="character" w:styleId="801" w:customStyle="1">
    <w:name w:val="Heading 3 Char"/>
    <w:basedOn w:val="796"/>
    <w:uiPriority w:val="9"/>
    <w:rPr>
      <w:rFonts w:ascii="Arial" w:hAnsi="Arial" w:eastAsia="Arial" w:cs="Arial"/>
      <w:sz w:val="30"/>
      <w:szCs w:val="30"/>
    </w:rPr>
  </w:style>
  <w:style w:type="character" w:styleId="802" w:customStyle="1">
    <w:name w:val="Heading 4 Char"/>
    <w:basedOn w:val="796"/>
    <w:uiPriority w:val="9"/>
    <w:rPr>
      <w:rFonts w:ascii="Arial" w:hAnsi="Arial" w:eastAsia="Arial" w:cs="Arial"/>
      <w:b/>
      <w:bCs/>
      <w:sz w:val="26"/>
      <w:szCs w:val="26"/>
    </w:rPr>
  </w:style>
  <w:style w:type="character" w:styleId="803" w:customStyle="1">
    <w:name w:val="Heading 5 Char"/>
    <w:basedOn w:val="796"/>
    <w:uiPriority w:val="9"/>
    <w:rPr>
      <w:rFonts w:ascii="Arial" w:hAnsi="Arial" w:eastAsia="Arial" w:cs="Arial"/>
      <w:b/>
      <w:bCs/>
      <w:sz w:val="24"/>
      <w:szCs w:val="24"/>
    </w:rPr>
  </w:style>
  <w:style w:type="character" w:styleId="804" w:customStyle="1">
    <w:name w:val="Heading 6 Char"/>
    <w:basedOn w:val="796"/>
    <w:uiPriority w:val="9"/>
    <w:rPr>
      <w:rFonts w:ascii="Arial" w:hAnsi="Arial" w:eastAsia="Arial" w:cs="Arial"/>
      <w:b/>
      <w:bCs/>
      <w:sz w:val="22"/>
      <w:szCs w:val="22"/>
    </w:rPr>
  </w:style>
  <w:style w:type="character" w:styleId="805" w:customStyle="1">
    <w:name w:val="Heading 7 Char"/>
    <w:basedOn w:val="7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6" w:customStyle="1">
    <w:name w:val="Heading 8 Char"/>
    <w:basedOn w:val="796"/>
    <w:uiPriority w:val="9"/>
    <w:rPr>
      <w:rFonts w:ascii="Arial" w:hAnsi="Arial" w:eastAsia="Arial" w:cs="Arial"/>
      <w:i/>
      <w:iCs/>
      <w:sz w:val="22"/>
      <w:szCs w:val="22"/>
    </w:rPr>
  </w:style>
  <w:style w:type="character" w:styleId="807" w:customStyle="1">
    <w:name w:val="Heading 9 Char"/>
    <w:basedOn w:val="796"/>
    <w:uiPriority w:val="9"/>
    <w:rPr>
      <w:rFonts w:ascii="Arial" w:hAnsi="Arial" w:eastAsia="Arial" w:cs="Arial"/>
      <w:i/>
      <w:iCs/>
      <w:sz w:val="21"/>
      <w:szCs w:val="21"/>
    </w:rPr>
  </w:style>
  <w:style w:type="character" w:styleId="808" w:customStyle="1">
    <w:name w:val="Title Char"/>
    <w:basedOn w:val="796"/>
    <w:uiPriority w:val="10"/>
    <w:rPr>
      <w:sz w:val="48"/>
      <w:szCs w:val="48"/>
    </w:rPr>
  </w:style>
  <w:style w:type="character" w:styleId="809" w:customStyle="1">
    <w:name w:val="Subtitle Char"/>
    <w:basedOn w:val="796"/>
    <w:uiPriority w:val="11"/>
    <w:rPr>
      <w:sz w:val="24"/>
      <w:szCs w:val="24"/>
    </w:rPr>
  </w:style>
  <w:style w:type="character" w:styleId="810" w:customStyle="1">
    <w:name w:val="Quote Char"/>
    <w:uiPriority w:val="29"/>
    <w:rPr>
      <w:i/>
    </w:rPr>
  </w:style>
  <w:style w:type="character" w:styleId="811" w:customStyle="1">
    <w:name w:val="Intense Quote Char"/>
    <w:uiPriority w:val="30"/>
    <w:rPr>
      <w:i/>
    </w:rPr>
  </w:style>
  <w:style w:type="character" w:styleId="812" w:customStyle="1">
    <w:name w:val="Footnote Text Char"/>
    <w:uiPriority w:val="99"/>
    <w:rPr>
      <w:sz w:val="18"/>
    </w:rPr>
  </w:style>
  <w:style w:type="character" w:styleId="813" w:customStyle="1">
    <w:name w:val="Endnote Text Char"/>
    <w:uiPriority w:val="99"/>
    <w:rPr>
      <w:sz w:val="20"/>
    </w:rPr>
  </w:style>
  <w:style w:type="character" w:styleId="814" w:customStyle="1">
    <w:name w:val="Заголовок 1 Знак"/>
    <w:basedOn w:val="796"/>
    <w:link w:val="787"/>
    <w:uiPriority w:val="9"/>
    <w:rPr>
      <w:rFonts w:ascii="Arial" w:hAnsi="Arial" w:eastAsia="Arial" w:cs="Arial"/>
      <w:sz w:val="40"/>
      <w:szCs w:val="40"/>
    </w:rPr>
  </w:style>
  <w:style w:type="character" w:styleId="815" w:customStyle="1">
    <w:name w:val="Заголовок 2 Знак"/>
    <w:basedOn w:val="796"/>
    <w:link w:val="788"/>
    <w:uiPriority w:val="9"/>
    <w:rPr>
      <w:rFonts w:ascii="Arial" w:hAnsi="Arial" w:eastAsia="Arial" w:cs="Arial"/>
      <w:sz w:val="34"/>
    </w:rPr>
  </w:style>
  <w:style w:type="character" w:styleId="816" w:customStyle="1">
    <w:name w:val="Заголовок 3 Знак"/>
    <w:basedOn w:val="796"/>
    <w:link w:val="789"/>
    <w:uiPriority w:val="9"/>
    <w:rPr>
      <w:rFonts w:ascii="Arial" w:hAnsi="Arial" w:eastAsia="Arial" w:cs="Arial"/>
      <w:sz w:val="30"/>
      <w:szCs w:val="30"/>
    </w:rPr>
  </w:style>
  <w:style w:type="character" w:styleId="817" w:customStyle="1">
    <w:name w:val="Заголовок 4 Знак"/>
    <w:basedOn w:val="796"/>
    <w:link w:val="790"/>
    <w:uiPriority w:val="9"/>
    <w:rPr>
      <w:rFonts w:ascii="Arial" w:hAnsi="Arial" w:eastAsia="Arial" w:cs="Arial"/>
      <w:b/>
      <w:bCs/>
      <w:sz w:val="26"/>
      <w:szCs w:val="26"/>
    </w:rPr>
  </w:style>
  <w:style w:type="character" w:styleId="818" w:customStyle="1">
    <w:name w:val="Заголовок 5 Знак"/>
    <w:basedOn w:val="796"/>
    <w:link w:val="791"/>
    <w:uiPriority w:val="9"/>
    <w:rPr>
      <w:rFonts w:ascii="Arial" w:hAnsi="Arial" w:eastAsia="Arial" w:cs="Arial"/>
      <w:b/>
      <w:bCs/>
      <w:sz w:val="24"/>
      <w:szCs w:val="24"/>
    </w:rPr>
  </w:style>
  <w:style w:type="character" w:styleId="819" w:customStyle="1">
    <w:name w:val="Заголовок 6 Знак"/>
    <w:basedOn w:val="796"/>
    <w:link w:val="792"/>
    <w:uiPriority w:val="9"/>
    <w:rPr>
      <w:rFonts w:ascii="Arial" w:hAnsi="Arial" w:eastAsia="Arial" w:cs="Arial"/>
      <w:b/>
      <w:bCs/>
      <w:sz w:val="22"/>
      <w:szCs w:val="22"/>
    </w:rPr>
  </w:style>
  <w:style w:type="character" w:styleId="820" w:customStyle="1">
    <w:name w:val="Заголовок 7 Знак"/>
    <w:basedOn w:val="796"/>
    <w:link w:val="7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1" w:customStyle="1">
    <w:name w:val="Заголовок 8 Знак"/>
    <w:basedOn w:val="796"/>
    <w:link w:val="794"/>
    <w:uiPriority w:val="9"/>
    <w:rPr>
      <w:rFonts w:ascii="Arial" w:hAnsi="Arial" w:eastAsia="Arial" w:cs="Arial"/>
      <w:i/>
      <w:iCs/>
      <w:sz w:val="22"/>
      <w:szCs w:val="22"/>
    </w:rPr>
  </w:style>
  <w:style w:type="character" w:styleId="822" w:customStyle="1">
    <w:name w:val="Заголовок 9 Знак"/>
    <w:basedOn w:val="796"/>
    <w:link w:val="795"/>
    <w:uiPriority w:val="9"/>
    <w:rPr>
      <w:rFonts w:ascii="Arial" w:hAnsi="Arial" w:eastAsia="Arial" w:cs="Arial"/>
      <w:i/>
      <w:iCs/>
      <w:sz w:val="21"/>
      <w:szCs w:val="21"/>
    </w:rPr>
  </w:style>
  <w:style w:type="paragraph" w:styleId="823">
    <w:name w:val="Title"/>
    <w:basedOn w:val="786"/>
    <w:next w:val="786"/>
    <w:link w:val="8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4" w:customStyle="1">
    <w:name w:val="Название Знак"/>
    <w:basedOn w:val="796"/>
    <w:link w:val="823"/>
    <w:uiPriority w:val="10"/>
    <w:rPr>
      <w:sz w:val="48"/>
      <w:szCs w:val="48"/>
    </w:rPr>
  </w:style>
  <w:style w:type="paragraph" w:styleId="825">
    <w:name w:val="Subtitle"/>
    <w:basedOn w:val="786"/>
    <w:next w:val="786"/>
    <w:link w:val="826"/>
    <w:uiPriority w:val="11"/>
    <w:qFormat/>
    <w:pPr>
      <w:spacing w:before="200" w:after="200"/>
    </w:pPr>
    <w:rPr>
      <w:sz w:val="24"/>
      <w:szCs w:val="24"/>
    </w:rPr>
  </w:style>
  <w:style w:type="character" w:styleId="826" w:customStyle="1">
    <w:name w:val="Подзаголовок Знак"/>
    <w:basedOn w:val="796"/>
    <w:link w:val="825"/>
    <w:uiPriority w:val="11"/>
    <w:rPr>
      <w:sz w:val="24"/>
      <w:szCs w:val="24"/>
    </w:rPr>
  </w:style>
  <w:style w:type="paragraph" w:styleId="827">
    <w:name w:val="Quote"/>
    <w:basedOn w:val="786"/>
    <w:next w:val="786"/>
    <w:link w:val="828"/>
    <w:uiPriority w:val="29"/>
    <w:qFormat/>
    <w:pPr>
      <w:ind w:left="720" w:right="720"/>
    </w:pPr>
    <w:rPr>
      <w:i/>
    </w:rPr>
  </w:style>
  <w:style w:type="character" w:styleId="828" w:customStyle="1">
    <w:name w:val="Цитата 2 Знак"/>
    <w:link w:val="827"/>
    <w:uiPriority w:val="29"/>
    <w:rPr>
      <w:i/>
    </w:rPr>
  </w:style>
  <w:style w:type="paragraph" w:styleId="829">
    <w:name w:val="Intense Quote"/>
    <w:basedOn w:val="786"/>
    <w:next w:val="786"/>
    <w:link w:val="8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0" w:customStyle="1">
    <w:name w:val="Выделенная цитата Знак"/>
    <w:link w:val="829"/>
    <w:uiPriority w:val="30"/>
    <w:rPr>
      <w:i/>
    </w:rPr>
  </w:style>
  <w:style w:type="character" w:styleId="831" w:customStyle="1">
    <w:name w:val="Header Char"/>
    <w:basedOn w:val="796"/>
    <w:uiPriority w:val="99"/>
  </w:style>
  <w:style w:type="character" w:styleId="832" w:customStyle="1">
    <w:name w:val="Footer Char"/>
    <w:basedOn w:val="796"/>
    <w:uiPriority w:val="99"/>
  </w:style>
  <w:style w:type="paragraph" w:styleId="833">
    <w:name w:val="Caption"/>
    <w:basedOn w:val="786"/>
    <w:next w:val="786"/>
    <w:link w:val="83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34" w:customStyle="1">
    <w:name w:val="Caption Char"/>
    <w:uiPriority w:val="99"/>
  </w:style>
  <w:style w:type="table" w:styleId="835" w:customStyle="1">
    <w:name w:val="Table Grid Light"/>
    <w:basedOn w:val="79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6">
    <w:name w:val="Plain Table 1"/>
    <w:basedOn w:val="79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7">
    <w:name w:val="Plain Table 2"/>
    <w:basedOn w:val="79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8">
    <w:name w:val="Plain Table 3"/>
    <w:basedOn w:val="7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9">
    <w:name w:val="Plain Table 4"/>
    <w:basedOn w:val="7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Plain Table 5"/>
    <w:basedOn w:val="7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1">
    <w:name w:val="Grid Table 1 Light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1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2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Grid Table 1 Light - Accent 3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Grid Table 1 Light - Accent 4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Grid Table 1 Light - Accent 5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Grid Table 1 Light - Accent 6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Grid Table 2"/>
    <w:basedOn w:val="7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1"/>
    <w:basedOn w:val="7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2"/>
    <w:basedOn w:val="7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2 - Accent 3"/>
    <w:basedOn w:val="7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2 - Accent 4"/>
    <w:basedOn w:val="7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2 - Accent 5"/>
    <w:basedOn w:val="7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2 - Accent 6"/>
    <w:basedOn w:val="7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"/>
    <w:basedOn w:val="7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1"/>
    <w:basedOn w:val="7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2"/>
    <w:basedOn w:val="7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3 - Accent 3"/>
    <w:basedOn w:val="7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3 - Accent 4"/>
    <w:basedOn w:val="7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3 - Accent 5"/>
    <w:basedOn w:val="7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3 - Accent 6"/>
    <w:basedOn w:val="7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4"/>
    <w:basedOn w:val="7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3" w:customStyle="1">
    <w:name w:val="Grid Table 4 - Accent 1"/>
    <w:basedOn w:val="7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64" w:customStyle="1">
    <w:name w:val="Grid Table 4 - Accent 2"/>
    <w:basedOn w:val="7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65" w:customStyle="1">
    <w:name w:val="Grid Table 4 - Accent 3"/>
    <w:basedOn w:val="7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66" w:customStyle="1">
    <w:name w:val="Grid Table 4 - Accent 4"/>
    <w:basedOn w:val="7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67" w:customStyle="1">
    <w:name w:val="Grid Table 4 - Accent 5"/>
    <w:basedOn w:val="7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68" w:customStyle="1">
    <w:name w:val="Grid Table 4 - Accent 6"/>
    <w:basedOn w:val="7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69">
    <w:name w:val="Grid Table 5 Dark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- Accent 1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 - Accent 2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72" w:customStyle="1">
    <w:name w:val="Grid Table 5 Dark - Accent 3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73" w:customStyle="1">
    <w:name w:val="Grid Table 5 Dark- Accent 4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74" w:customStyle="1">
    <w:name w:val="Grid Table 5 Dark - Accent 5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75" w:customStyle="1">
    <w:name w:val="Grid Table 5 Dark - Accent 6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76">
    <w:name w:val="Grid Table 6 Colorful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7" w:customStyle="1">
    <w:name w:val="Grid Table 6 Colorful - Accent 1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78" w:customStyle="1">
    <w:name w:val="Grid Table 6 Colorful - Accent 2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79" w:customStyle="1">
    <w:name w:val="Grid Table 6 Colorful - Accent 3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80" w:customStyle="1">
    <w:name w:val="Grid Table 6 Colorful - Accent 4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81" w:customStyle="1">
    <w:name w:val="Grid Table 6 Colorful - Accent 5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2" w:customStyle="1">
    <w:name w:val="Grid Table 6 Colorful - Accent 6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3">
    <w:name w:val="Grid Table 7 Colorful"/>
    <w:basedOn w:val="7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7 Colorful - Accent 1"/>
    <w:basedOn w:val="7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7 Colorful - Accent 2"/>
    <w:basedOn w:val="7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7 Colorful - Accent 3"/>
    <w:basedOn w:val="7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7 Colorful - Accent 4"/>
    <w:basedOn w:val="7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7 Colorful - Accent 5"/>
    <w:basedOn w:val="7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7 Colorful - Accent 6"/>
    <w:basedOn w:val="7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"/>
    <w:basedOn w:val="7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1"/>
    <w:basedOn w:val="7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2"/>
    <w:basedOn w:val="7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1 Light - Accent 3"/>
    <w:basedOn w:val="7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1 Light - Accent 4"/>
    <w:basedOn w:val="7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1 Light - Accent 5"/>
    <w:basedOn w:val="7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1 Light - Accent 6"/>
    <w:basedOn w:val="7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List Table 2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1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2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00" w:customStyle="1">
    <w:name w:val="List Table 2 - Accent 3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01" w:customStyle="1">
    <w:name w:val="List Table 2 - Accent 4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02" w:customStyle="1">
    <w:name w:val="List Table 2 - Accent 5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03" w:customStyle="1">
    <w:name w:val="List Table 2 - Accent 6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04">
    <w:name w:val="List Table 3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1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2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3 - Accent 3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3 - Accent 4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3 - Accent 5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3 - Accent 6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1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2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4 - Accent 3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 - Accent 4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4 - Accent 5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4 - Accent 6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5 Dark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1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2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 w:customStyle="1">
    <w:name w:val="List Table 5 Dark - Accent 3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2" w:customStyle="1">
    <w:name w:val="List Table 5 Dark - Accent 4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3" w:customStyle="1">
    <w:name w:val="List Table 5 Dark - Accent 5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 w:customStyle="1">
    <w:name w:val="List Table 5 Dark - Accent 6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5">
    <w:name w:val="List Table 6 Colorful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6" w:customStyle="1">
    <w:name w:val="List Table 6 Colorful - Accent 1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27" w:customStyle="1">
    <w:name w:val="List Table 6 Colorful - Accent 2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28" w:customStyle="1">
    <w:name w:val="List Table 6 Colorful - Accent 3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29" w:customStyle="1">
    <w:name w:val="List Table 6 Colorful - Accent 4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30" w:customStyle="1">
    <w:name w:val="List Table 6 Colorful - Accent 5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31" w:customStyle="1">
    <w:name w:val="List Table 6 Colorful - Accent 6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32">
    <w:name w:val="List Table 7 Colorful"/>
    <w:basedOn w:val="7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7 Colorful - Accent 1"/>
    <w:basedOn w:val="7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7 Colorful - Accent 2"/>
    <w:basedOn w:val="7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List Table 7 Colorful - Accent 3"/>
    <w:basedOn w:val="7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List Table 7 Colorful - Accent 4"/>
    <w:basedOn w:val="7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List Table 7 Colorful - Accent 5"/>
    <w:basedOn w:val="7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List Table 7 Colorful - Accent 6"/>
    <w:basedOn w:val="7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ned - Accent"/>
    <w:basedOn w:val="7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0" w:customStyle="1">
    <w:name w:val="Lined - Accent 1"/>
    <w:basedOn w:val="7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1" w:customStyle="1">
    <w:name w:val="Lined - Accent 2"/>
    <w:basedOn w:val="7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2" w:customStyle="1">
    <w:name w:val="Lined - Accent 3"/>
    <w:basedOn w:val="7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3" w:customStyle="1">
    <w:name w:val="Lined - Accent 4"/>
    <w:basedOn w:val="7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4" w:customStyle="1">
    <w:name w:val="Lined - Accent 5"/>
    <w:basedOn w:val="7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5" w:customStyle="1">
    <w:name w:val="Lined - Accent 6"/>
    <w:basedOn w:val="7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6" w:customStyle="1">
    <w:name w:val="Bordered &amp; Lined - Accent"/>
    <w:basedOn w:val="7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7" w:customStyle="1">
    <w:name w:val="Bordered &amp; Lined - Accent 1"/>
    <w:basedOn w:val="7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8" w:customStyle="1">
    <w:name w:val="Bordered &amp; Lined - Accent 2"/>
    <w:basedOn w:val="7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9" w:customStyle="1">
    <w:name w:val="Bordered &amp; Lined - Accent 3"/>
    <w:basedOn w:val="7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0" w:customStyle="1">
    <w:name w:val="Bordered &amp; Lined - Accent 4"/>
    <w:basedOn w:val="7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1" w:customStyle="1">
    <w:name w:val="Bordered &amp; Lined - Accent 5"/>
    <w:basedOn w:val="7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2" w:customStyle="1">
    <w:name w:val="Bordered &amp; Lined - Accent 6"/>
    <w:basedOn w:val="7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3" w:customStyle="1">
    <w:name w:val="Bordered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4" w:customStyle="1">
    <w:name w:val="Bordered - Accent 1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55" w:customStyle="1">
    <w:name w:val="Bordered - Accent 2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56" w:customStyle="1">
    <w:name w:val="Bordered - Accent 3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57" w:customStyle="1">
    <w:name w:val="Bordered - Accent 4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58" w:customStyle="1">
    <w:name w:val="Bordered - Accent 5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59" w:customStyle="1">
    <w:name w:val="Bordered - Accent 6"/>
    <w:basedOn w:val="7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60">
    <w:name w:val="footnote text"/>
    <w:basedOn w:val="786"/>
    <w:link w:val="961"/>
    <w:uiPriority w:val="99"/>
    <w:semiHidden/>
    <w:unhideWhenUsed/>
    <w:pPr>
      <w:spacing w:after="40"/>
    </w:pPr>
    <w:rPr>
      <w:sz w:val="18"/>
    </w:rPr>
  </w:style>
  <w:style w:type="character" w:styleId="961" w:customStyle="1">
    <w:name w:val="Текст сноски Знак"/>
    <w:link w:val="960"/>
    <w:uiPriority w:val="99"/>
    <w:rPr>
      <w:sz w:val="18"/>
    </w:rPr>
  </w:style>
  <w:style w:type="character" w:styleId="962">
    <w:name w:val="footnote reference"/>
    <w:basedOn w:val="796"/>
    <w:uiPriority w:val="99"/>
    <w:unhideWhenUsed/>
    <w:rPr>
      <w:vertAlign w:val="superscript"/>
    </w:rPr>
  </w:style>
  <w:style w:type="paragraph" w:styleId="963">
    <w:name w:val="endnote text"/>
    <w:basedOn w:val="786"/>
    <w:link w:val="964"/>
    <w:uiPriority w:val="99"/>
    <w:semiHidden/>
    <w:unhideWhenUsed/>
  </w:style>
  <w:style w:type="character" w:styleId="964" w:customStyle="1">
    <w:name w:val="Текст концевой сноски Знак"/>
    <w:link w:val="963"/>
    <w:uiPriority w:val="99"/>
    <w:rPr>
      <w:sz w:val="20"/>
    </w:rPr>
  </w:style>
  <w:style w:type="character" w:styleId="965">
    <w:name w:val="endnote reference"/>
    <w:basedOn w:val="796"/>
    <w:uiPriority w:val="99"/>
    <w:semiHidden/>
    <w:unhideWhenUsed/>
    <w:rPr>
      <w:vertAlign w:val="superscript"/>
    </w:rPr>
  </w:style>
  <w:style w:type="paragraph" w:styleId="966">
    <w:name w:val="toc 1"/>
    <w:basedOn w:val="786"/>
    <w:next w:val="786"/>
    <w:uiPriority w:val="39"/>
    <w:unhideWhenUsed/>
    <w:pPr>
      <w:spacing w:after="57"/>
    </w:pPr>
  </w:style>
  <w:style w:type="paragraph" w:styleId="967">
    <w:name w:val="toc 2"/>
    <w:basedOn w:val="786"/>
    <w:next w:val="786"/>
    <w:uiPriority w:val="39"/>
    <w:unhideWhenUsed/>
    <w:pPr>
      <w:ind w:left="283"/>
      <w:spacing w:after="57"/>
    </w:pPr>
  </w:style>
  <w:style w:type="paragraph" w:styleId="968">
    <w:name w:val="toc 3"/>
    <w:basedOn w:val="786"/>
    <w:next w:val="786"/>
    <w:uiPriority w:val="39"/>
    <w:unhideWhenUsed/>
    <w:pPr>
      <w:ind w:left="567"/>
      <w:spacing w:after="57"/>
    </w:pPr>
  </w:style>
  <w:style w:type="paragraph" w:styleId="969">
    <w:name w:val="toc 4"/>
    <w:basedOn w:val="786"/>
    <w:next w:val="786"/>
    <w:uiPriority w:val="39"/>
    <w:unhideWhenUsed/>
    <w:pPr>
      <w:ind w:left="850"/>
      <w:spacing w:after="57"/>
    </w:pPr>
  </w:style>
  <w:style w:type="paragraph" w:styleId="970">
    <w:name w:val="toc 5"/>
    <w:basedOn w:val="786"/>
    <w:next w:val="786"/>
    <w:uiPriority w:val="39"/>
    <w:unhideWhenUsed/>
    <w:pPr>
      <w:ind w:left="1134"/>
      <w:spacing w:after="57"/>
    </w:pPr>
  </w:style>
  <w:style w:type="paragraph" w:styleId="971">
    <w:name w:val="toc 6"/>
    <w:basedOn w:val="786"/>
    <w:next w:val="786"/>
    <w:uiPriority w:val="39"/>
    <w:unhideWhenUsed/>
    <w:pPr>
      <w:ind w:left="1417"/>
      <w:spacing w:after="57"/>
    </w:pPr>
  </w:style>
  <w:style w:type="paragraph" w:styleId="972">
    <w:name w:val="toc 7"/>
    <w:basedOn w:val="786"/>
    <w:next w:val="786"/>
    <w:uiPriority w:val="39"/>
    <w:unhideWhenUsed/>
    <w:pPr>
      <w:ind w:left="1701"/>
      <w:spacing w:after="57"/>
    </w:pPr>
  </w:style>
  <w:style w:type="paragraph" w:styleId="973">
    <w:name w:val="toc 8"/>
    <w:basedOn w:val="786"/>
    <w:next w:val="786"/>
    <w:uiPriority w:val="39"/>
    <w:unhideWhenUsed/>
    <w:pPr>
      <w:ind w:left="1984"/>
      <w:spacing w:after="57"/>
    </w:pPr>
  </w:style>
  <w:style w:type="paragraph" w:styleId="974">
    <w:name w:val="toc 9"/>
    <w:basedOn w:val="786"/>
    <w:next w:val="786"/>
    <w:uiPriority w:val="39"/>
    <w:unhideWhenUsed/>
    <w:pPr>
      <w:ind w:left="2268"/>
      <w:spacing w:after="57"/>
    </w:pPr>
  </w:style>
  <w:style w:type="paragraph" w:styleId="975">
    <w:name w:val="TOC Heading"/>
    <w:uiPriority w:val="39"/>
    <w:unhideWhenUsed/>
  </w:style>
  <w:style w:type="paragraph" w:styleId="976">
    <w:name w:val="table of figures"/>
    <w:basedOn w:val="786"/>
    <w:next w:val="786"/>
    <w:uiPriority w:val="99"/>
    <w:unhideWhenUsed/>
  </w:style>
  <w:style w:type="paragraph" w:styleId="977">
    <w:name w:val="Header"/>
    <w:basedOn w:val="786"/>
    <w:link w:val="978"/>
    <w:pPr>
      <w:tabs>
        <w:tab w:val="center" w:pos="4153" w:leader="none"/>
        <w:tab w:val="right" w:pos="8306" w:leader="none"/>
      </w:tabs>
    </w:pPr>
  </w:style>
  <w:style w:type="character" w:styleId="978" w:customStyle="1">
    <w:name w:val="Верхний колонтитул Знак"/>
    <w:basedOn w:val="796"/>
    <w:link w:val="97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79">
    <w:name w:val="page number"/>
    <w:basedOn w:val="796"/>
  </w:style>
  <w:style w:type="character" w:styleId="980">
    <w:name w:val="Hyperlink"/>
    <w:rPr>
      <w:color w:val="0000ff"/>
      <w:u w:val="single"/>
    </w:rPr>
  </w:style>
  <w:style w:type="paragraph" w:styleId="981">
    <w:name w:val="Body Text"/>
    <w:basedOn w:val="786"/>
    <w:link w:val="982"/>
    <w:pPr>
      <w:spacing w:after="120"/>
    </w:pPr>
  </w:style>
  <w:style w:type="character" w:styleId="982" w:customStyle="1">
    <w:name w:val="Основной текст Знак"/>
    <w:basedOn w:val="796"/>
    <w:link w:val="98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3">
    <w:name w:val="Footer"/>
    <w:basedOn w:val="786"/>
    <w:link w:val="984"/>
    <w:uiPriority w:val="99"/>
    <w:pPr>
      <w:tabs>
        <w:tab w:val="center" w:pos="4677" w:leader="none"/>
        <w:tab w:val="right" w:pos="9355" w:leader="none"/>
      </w:tabs>
    </w:pPr>
  </w:style>
  <w:style w:type="character" w:styleId="984" w:customStyle="1">
    <w:name w:val="Нижний колонтитул Знак"/>
    <w:basedOn w:val="796"/>
    <w:link w:val="98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5">
    <w:name w:val="Balloon Text"/>
    <w:basedOn w:val="786"/>
    <w:link w:val="98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86" w:customStyle="1">
    <w:name w:val="Текст выноски Знак"/>
    <w:basedOn w:val="796"/>
    <w:link w:val="98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87">
    <w:name w:val="List Paragraph"/>
    <w:basedOn w:val="786"/>
    <w:link w:val="98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8" w:customStyle="1">
    <w:name w:val="Абзац списка Знак"/>
    <w:link w:val="987"/>
    <w:uiPriority w:val="34"/>
    <w:rPr>
      <w:rFonts w:ascii="Calibri" w:hAnsi="Calibri" w:eastAsia="Calibri" w:cs="Times New Roman"/>
    </w:rPr>
  </w:style>
  <w:style w:type="paragraph" w:styleId="989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90" w:customStyle="1">
    <w:name w:val="Style 12 pt Bold Italic"/>
    <w:uiPriority w:val="99"/>
    <w:rPr>
      <w:rFonts w:ascii="Times New Roman" w:hAnsi="Times New Roman"/>
      <w:b/>
      <w:bCs/>
      <w:i/>
      <w:iCs/>
      <w:sz w:val="22"/>
    </w:rPr>
  </w:style>
  <w:style w:type="table" w:styleId="991">
    <w:name w:val="Table Grid"/>
    <w:basedOn w:val="79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2" w:customStyle="1">
    <w:name w:val="Абзац 3"/>
    <w:basedOn w:val="786"/>
    <w:hidden/>
    <w:pPr>
      <w:jc w:val="both"/>
    </w:pPr>
    <w:rPr>
      <w:rFonts w:eastAsiaTheme="minorEastAsia" w:cstheme="minorBidi"/>
      <w:sz w:val="24"/>
      <w:szCs w:val="22"/>
    </w:rPr>
  </w:style>
  <w:style w:type="character" w:styleId="993">
    <w:name w:val="Subtle Emphasis"/>
    <w:basedOn w:val="796"/>
    <w:uiPriority w:val="19"/>
    <w:qFormat/>
    <w:rPr>
      <w:i/>
      <w:iCs/>
      <w:color w:val="404040" w:themeColor="text1" w:themeTint="BF"/>
    </w:rPr>
  </w:style>
  <w:style w:type="character" w:styleId="994">
    <w:name w:val="Strong"/>
    <w:basedOn w:val="796"/>
    <w:uiPriority w:val="22"/>
    <w:qFormat/>
    <w:rPr>
      <w:b/>
      <w:bCs/>
    </w:rPr>
  </w:style>
  <w:style w:type="character" w:styleId="995" w:customStyle="1">
    <w:name w:val="Subst"/>
    <w:uiPriority w:val="99"/>
    <w:rPr>
      <w:b/>
      <w:i/>
    </w:rPr>
  </w:style>
  <w:style w:type="paragraph" w:styleId="996" w:customStyle="1">
    <w:name w:val="Абзац 4"/>
    <w:basedOn w:val="786"/>
    <w:pPr>
      <w:jc w:val="both"/>
    </w:pPr>
    <w:rPr>
      <w:rFonts w:eastAsiaTheme="minorEastAsia" w:cstheme="minorBidi"/>
      <w:sz w:val="24"/>
      <w:szCs w:val="22"/>
    </w:rPr>
  </w:style>
  <w:style w:type="paragraph" w:styleId="997" w:customStyle="1">
    <w:name w:val="Абзац 2"/>
    <w:basedOn w:val="786"/>
    <w:pPr>
      <w:jc w:val="both"/>
    </w:pPr>
    <w:rPr>
      <w:rFonts w:eastAsiaTheme="minorEastAsia" w:cstheme="minorBidi"/>
      <w:b/>
      <w:sz w:val="24"/>
      <w:szCs w:val="22"/>
    </w:rPr>
  </w:style>
  <w:style w:type="paragraph" w:styleId="998" w:customStyle="1">
    <w:name w:val="docdata"/>
    <w:basedOn w:val="786"/>
    <w:pPr>
      <w:spacing w:before="100" w:beforeAutospacing="1" w:after="100" w:afterAutospacing="1"/>
    </w:pPr>
    <w:rPr>
      <w:sz w:val="24"/>
      <w:szCs w:val="24"/>
    </w:rPr>
  </w:style>
  <w:style w:type="paragraph" w:styleId="999">
    <w:name w:val="Normal (Web)"/>
    <w:basedOn w:val="786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1000">
    <w:name w:val="Body Text Indent 2"/>
    <w:basedOn w:val="786"/>
    <w:link w:val="1001"/>
    <w:uiPriority w:val="99"/>
    <w:unhideWhenUsed/>
    <w:pPr>
      <w:ind w:left="283"/>
      <w:spacing w:after="120" w:line="480" w:lineRule="auto"/>
    </w:pPr>
    <w:rPr>
      <w:rFonts w:ascii="Calibri" w:hAnsi="Calibri" w:eastAsia="Calibri"/>
      <w:sz w:val="22"/>
      <w:szCs w:val="22"/>
      <w:lang w:eastAsia="en-US"/>
    </w:rPr>
  </w:style>
  <w:style w:type="character" w:styleId="1001" w:customStyle="1">
    <w:name w:val="Основной текст с отступом 2 Знак"/>
    <w:basedOn w:val="796"/>
    <w:link w:val="1000"/>
    <w:uiPriority w:val="99"/>
    <w:rPr>
      <w:rFonts w:ascii="Calibri" w:hAnsi="Calibri" w:eastAsia="Calibri" w:cs="Times New Roman"/>
    </w:rPr>
  </w:style>
  <w:style w:type="table" w:styleId="1002" w:customStyle="1">
    <w:name w:val="Таблица 1"/>
    <w:basedOn w:val="797"/>
    <w:pPr>
      <w:spacing w:line="256" w:lineRule="auto"/>
    </w:pPr>
    <w:rPr>
      <w:rFonts w:eastAsiaTheme="minorEastAsia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40" w:type="dxa"/>
        <w:top w:w="20" w:type="dxa"/>
        <w:right w:w="40" w:type="dxa"/>
        <w:bottom w:w="2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ogk2.ru" TargetMode="External"/><Relationship Id="rId13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8FC54-DFDD-45FA-83C4-D819C6D7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Р7-Офис/2025.1.1.749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Белокур Елена Викторовна</dc:creator>
  <cp:keywords/>
  <dc:description/>
  <cp:lastModifiedBy>shishova.ekaterina</cp:lastModifiedBy>
  <cp:revision>10</cp:revision>
  <dcterms:created xsi:type="dcterms:W3CDTF">2025-07-17T08:50:00Z</dcterms:created>
  <dcterms:modified xsi:type="dcterms:W3CDTF">2025-10-03T10:02:32Z</dcterms:modified>
</cp:coreProperties>
</file>