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63" w:rsidRDefault="00483C63">
      <w:pPr>
        <w:ind w:firstLine="540"/>
        <w:jc w:val="center"/>
        <w:outlineLvl w:val="0"/>
        <w:rPr>
          <w:b/>
          <w:bCs/>
          <w:sz w:val="22"/>
          <w:szCs w:val="22"/>
        </w:rPr>
      </w:pPr>
    </w:p>
    <w:p w:rsidR="00483C63" w:rsidRDefault="0067023E">
      <w:pPr>
        <w:ind w:firstLine="54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Сообщение о существенном факте </w:t>
      </w:r>
    </w:p>
    <w:p w:rsidR="00483C63" w:rsidRDefault="006702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>«</w:t>
      </w:r>
      <w:r>
        <w:rPr>
          <w:b/>
          <w:sz w:val="22"/>
          <w:szCs w:val="22"/>
        </w:rPr>
        <w:t>О проведении заседания совета директоров эмитента и его повестке дня</w:t>
      </w:r>
      <w:r>
        <w:rPr>
          <w:b/>
          <w:bCs/>
          <w:sz w:val="22"/>
          <w:szCs w:val="22"/>
        </w:rPr>
        <w:t>»</w:t>
      </w:r>
    </w:p>
    <w:p w:rsidR="00483C63" w:rsidRDefault="00483C63">
      <w:pPr>
        <w:ind w:firstLine="540"/>
        <w:jc w:val="center"/>
        <w:outlineLvl w:val="0"/>
        <w:rPr>
          <w:b/>
          <w:bCs/>
          <w:sz w:val="24"/>
          <w:szCs w:val="24"/>
        </w:rPr>
      </w:pPr>
    </w:p>
    <w:tbl>
      <w:tblPr>
        <w:tblW w:w="10235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5387"/>
      </w:tblGrid>
      <w:tr w:rsidR="00483C63">
        <w:tc>
          <w:tcPr>
            <w:tcW w:w="10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center"/>
            </w:pPr>
            <w:r>
              <w:rPr>
                <w:sz w:val="22"/>
                <w:szCs w:val="22"/>
              </w:rPr>
              <w:t>1. Общие сведения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  <w:rPr>
                <w:b/>
                <w:bCs/>
                <w:szCs w:val="22"/>
              </w:rPr>
            </w:pPr>
            <w:r>
              <w:rPr>
                <w:szCs w:val="22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</w:pPr>
            <w:r>
              <w:rPr>
                <w:szCs w:val="22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 xml:space="preserve">196605, г. Санкт-Петербург, вн.тер.г. поселок Шушары, ш Петербургское, д. 66, к. 1, литера А, этаж 7, </w:t>
            </w:r>
            <w:r>
              <w:rPr>
                <w:b/>
                <w:bCs/>
                <w:szCs w:val="22"/>
              </w:rPr>
              <w:br/>
              <w:t>помещ. 36-Н, каб. 701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</w:pPr>
            <w:r>
              <w:rPr>
                <w:szCs w:val="22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1052600002180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</w:pPr>
            <w:r>
              <w:rPr>
                <w:szCs w:val="22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2607018122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</w:pPr>
            <w:r>
              <w:rPr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65105-D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r>
              <w:rPr>
                <w:szCs w:val="22"/>
              </w:rP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5B9E">
            <w:pPr>
              <w:ind w:right="57"/>
              <w:rPr>
                <w:b/>
                <w:bCs/>
              </w:rPr>
            </w:pPr>
            <w:hyperlink r:id="rId7" w:tooltip="https://www.ogk2.ru/" w:history="1">
              <w:r w:rsidR="0067023E">
                <w:rPr>
                  <w:rStyle w:val="a8"/>
                  <w:b/>
                  <w:bCs/>
                  <w:color w:val="auto"/>
                  <w:szCs w:val="22"/>
                </w:rPr>
                <w:t>https://www.ogk2.ru</w:t>
              </w:r>
            </w:hyperlink>
          </w:p>
          <w:p w:rsidR="00483C63" w:rsidRDefault="00675B9E">
            <w:pPr>
              <w:ind w:right="85"/>
              <w:rPr>
                <w:b/>
                <w:bCs/>
              </w:rPr>
            </w:pPr>
            <w:hyperlink r:id="rId8" w:tooltip="https://www.e-disclosure.ru/portal/company.aspx?id=7234" w:history="1">
              <w:r w:rsidR="0067023E">
                <w:rPr>
                  <w:rStyle w:val="a8"/>
                  <w:b/>
                  <w:bCs/>
                  <w:color w:val="auto"/>
                  <w:szCs w:val="22"/>
                </w:rPr>
                <w:t>https://www.e-disclosure.ru/portal/company.aspx?id=7234</w:t>
              </w:r>
            </w:hyperlink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</w:pPr>
            <w:r>
              <w:rPr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EB2268" w:rsidP="0016265A">
            <w:pPr>
              <w:ind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1</w:t>
            </w:r>
            <w:r w:rsidR="0016265A">
              <w:rPr>
                <w:b/>
                <w:bCs/>
                <w:szCs w:val="22"/>
              </w:rPr>
              <w:t>6</w:t>
            </w:r>
            <w:r>
              <w:rPr>
                <w:b/>
                <w:bCs/>
                <w:szCs w:val="22"/>
              </w:rPr>
              <w:t>.12</w:t>
            </w:r>
            <w:r w:rsidR="0067023E">
              <w:rPr>
                <w:b/>
                <w:bCs/>
                <w:szCs w:val="22"/>
              </w:rPr>
              <w:t>.2024</w:t>
            </w:r>
          </w:p>
        </w:tc>
      </w:tr>
    </w:tbl>
    <w:p w:rsidR="00483C63" w:rsidRDefault="00483C63"/>
    <w:tbl>
      <w:tblPr>
        <w:tblW w:w="10196" w:type="dxa"/>
        <w:tblInd w:w="-38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96"/>
      </w:tblGrid>
      <w:tr w:rsidR="00483C63"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center"/>
            </w:pPr>
            <w:r>
              <w:t>2. Содержание сообщения</w:t>
            </w:r>
          </w:p>
        </w:tc>
      </w:tr>
      <w:tr w:rsidR="00483C63">
        <w:trPr>
          <w:trHeight w:val="1484"/>
        </w:trPr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EB2268" w:rsidRDefault="0067023E">
            <w:pPr>
              <w:ind w:left="-28" w:right="57"/>
              <w:jc w:val="both"/>
              <w:rPr>
                <w:b/>
                <w:color w:val="000000"/>
              </w:rPr>
            </w:pPr>
            <w:r w:rsidRPr="00A42679">
              <w:rPr>
                <w:color w:val="000000"/>
              </w:rPr>
              <w:t>2.1. Д</w:t>
            </w:r>
            <w:r>
              <w:rPr>
                <w:color w:val="000000"/>
              </w:rPr>
              <w:t>ата принятия Председателем совета директоров эмитента решения о проведении заседания совета директоров эмитента:</w:t>
            </w:r>
            <w:r w:rsidRPr="00A42679">
              <w:rPr>
                <w:color w:val="000000"/>
              </w:rPr>
              <w:t xml:space="preserve"> </w:t>
            </w:r>
            <w:r w:rsidR="00EB2268" w:rsidRPr="00EB2268">
              <w:rPr>
                <w:b/>
                <w:color w:val="000000"/>
              </w:rPr>
              <w:t>1</w:t>
            </w:r>
            <w:r w:rsidR="00EB2268">
              <w:rPr>
                <w:b/>
                <w:color w:val="000000"/>
              </w:rPr>
              <w:t>6</w:t>
            </w:r>
            <w:r w:rsidR="00EB2268" w:rsidRPr="00EB2268">
              <w:rPr>
                <w:b/>
                <w:color w:val="000000"/>
              </w:rPr>
              <w:t>.12</w:t>
            </w:r>
            <w:r w:rsidRPr="00EB2268">
              <w:rPr>
                <w:b/>
                <w:color w:val="000000"/>
              </w:rPr>
              <w:t>.2024.</w:t>
            </w:r>
          </w:p>
          <w:p w:rsidR="00483C63" w:rsidRPr="00EB2268" w:rsidRDefault="0067023E">
            <w:pPr>
              <w:ind w:left="-28" w:right="57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2.2. Дата проведения заседания совета директоров эмитента</w:t>
            </w:r>
            <w:r w:rsidRPr="00A42679">
              <w:rPr>
                <w:color w:val="000000"/>
              </w:rPr>
              <w:t>:</w:t>
            </w:r>
            <w:r w:rsidR="00A87A10" w:rsidRPr="00A42679">
              <w:rPr>
                <w:color w:val="000000"/>
              </w:rPr>
              <w:t xml:space="preserve"> </w:t>
            </w:r>
            <w:r w:rsidR="00EB2268" w:rsidRPr="00EB2268">
              <w:rPr>
                <w:b/>
                <w:color w:val="000000"/>
              </w:rPr>
              <w:t>1</w:t>
            </w:r>
            <w:r w:rsidR="00EB2268">
              <w:rPr>
                <w:b/>
                <w:color w:val="000000"/>
              </w:rPr>
              <w:t>8</w:t>
            </w:r>
            <w:r w:rsidR="00EB2268" w:rsidRPr="00EB2268">
              <w:rPr>
                <w:b/>
                <w:color w:val="000000"/>
              </w:rPr>
              <w:t>.12</w:t>
            </w:r>
            <w:r w:rsidRPr="00EB2268">
              <w:rPr>
                <w:b/>
                <w:color w:val="000000"/>
              </w:rPr>
              <w:t>.2024.</w:t>
            </w:r>
          </w:p>
          <w:p w:rsidR="00483C63" w:rsidRPr="00A42679" w:rsidRDefault="0067023E">
            <w:pPr>
              <w:ind w:left="-28" w:right="57"/>
              <w:jc w:val="both"/>
              <w:rPr>
                <w:color w:val="000000"/>
              </w:rPr>
            </w:pPr>
            <w:r w:rsidRPr="00A42679">
              <w:rPr>
                <w:color w:val="000000"/>
              </w:rPr>
              <w:t>2.3.  </w:t>
            </w:r>
            <w:r>
              <w:rPr>
                <w:color w:val="000000"/>
              </w:rPr>
              <w:t>Повестка дня заседания совета директоров эмитента:</w:t>
            </w:r>
          </w:p>
          <w:p w:rsidR="00EB2268" w:rsidRPr="007953C5" w:rsidRDefault="00A42679" w:rsidP="00EB2268">
            <w:pPr>
              <w:pStyle w:val="42"/>
              <w:spacing w:before="20" w:after="20"/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7953C5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>1</w:t>
            </w:r>
            <w:r w:rsidR="00EB2268" w:rsidRPr="007953C5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EB2268" w:rsidRPr="007953C5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>Об утверждении Политики обеспечения преемственности Совета директоров Общества.</w:t>
            </w:r>
          </w:p>
          <w:p w:rsidR="00EB2268" w:rsidRPr="007953C5" w:rsidRDefault="00EB2268" w:rsidP="00EB2268">
            <w:pPr>
              <w:pStyle w:val="42"/>
              <w:spacing w:before="20" w:after="20"/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7953C5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>2</w:t>
            </w:r>
            <w:r w:rsidR="00A42679" w:rsidRPr="007953C5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. </w:t>
            </w:r>
            <w:r w:rsidRPr="007953C5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>Об утверждении методологии самооценки эффективности Совета директоров и комитетов Совета директоров Общества.</w:t>
            </w:r>
          </w:p>
          <w:p w:rsidR="00A42679" w:rsidRPr="00EB2268" w:rsidRDefault="00A42679" w:rsidP="00EB2268">
            <w:pPr>
              <w:pStyle w:val="42"/>
              <w:spacing w:before="20" w:after="20"/>
            </w:pPr>
          </w:p>
        </w:tc>
      </w:tr>
    </w:tbl>
    <w:p w:rsidR="007953C5" w:rsidRDefault="007953C5" w:rsidP="007953C5">
      <w:pPr>
        <w:rPr>
          <w:sz w:val="18"/>
        </w:rPr>
      </w:pPr>
    </w:p>
    <w:tbl>
      <w:tblPr>
        <w:tblW w:w="10243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1"/>
        <w:gridCol w:w="357"/>
        <w:gridCol w:w="384"/>
        <w:gridCol w:w="1317"/>
        <w:gridCol w:w="416"/>
        <w:gridCol w:w="307"/>
        <w:gridCol w:w="1209"/>
        <w:gridCol w:w="1338"/>
        <w:gridCol w:w="462"/>
        <w:gridCol w:w="3072"/>
        <w:gridCol w:w="150"/>
      </w:tblGrid>
      <w:tr w:rsidR="00ED697E" w:rsidTr="00EB3B50">
        <w:trPr>
          <w:cantSplit/>
          <w:trHeight w:val="248"/>
        </w:trPr>
        <w:tc>
          <w:tcPr>
            <w:tcW w:w="10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7E" w:rsidRDefault="00ED697E" w:rsidP="00EB3B50">
            <w:pPr>
              <w:jc w:val="center"/>
            </w:pPr>
            <w:r>
              <w:t>3. Подпись</w:t>
            </w:r>
          </w:p>
        </w:tc>
      </w:tr>
      <w:tr w:rsidR="00ED697E" w:rsidTr="00EB3B50">
        <w:trPr>
          <w:cantSplit/>
          <w:trHeight w:val="859"/>
        </w:trPr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675B9E" w:rsidRDefault="00ED697E" w:rsidP="00EB3B50">
            <w:pPr>
              <w:pStyle w:val="af3"/>
              <w:rPr>
                <w:rFonts w:eastAsia="Times New Roman" w:cs="Times New Roman"/>
                <w:b/>
                <w:color w:val="000000"/>
              </w:rPr>
            </w:pPr>
            <w:r>
              <w:rPr>
                <w:b/>
                <w:szCs w:val="22"/>
              </w:rPr>
              <w:t xml:space="preserve">3.1. </w:t>
            </w:r>
            <w:r>
              <w:rPr>
                <w:rFonts w:eastAsia="Times New Roman" w:cs="Times New Roman"/>
                <w:b/>
                <w:color w:val="000000"/>
              </w:rPr>
              <w:t>Начальник Управления корпоративных и имущественных отношений, действующий на основании доверенности № 78/66-н/78-2022-3-513</w:t>
            </w:r>
            <w:r w:rsidR="00675B9E">
              <w:rPr>
                <w:rFonts w:eastAsia="Times New Roman" w:cs="Times New Roman"/>
                <w:b/>
                <w:color w:val="000000"/>
              </w:rPr>
              <w:t xml:space="preserve"> </w:t>
            </w:r>
          </w:p>
          <w:p w:rsidR="00ED697E" w:rsidRDefault="00675B9E" w:rsidP="00EB3B50">
            <w:pPr>
              <w:pStyle w:val="af3"/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color w:val="000000"/>
              </w:rPr>
              <w:t xml:space="preserve">от </w:t>
            </w:r>
            <w:r w:rsidRPr="0039250A">
              <w:rPr>
                <w:rFonts w:cs="Times New Roman"/>
                <w:b/>
                <w:bCs/>
              </w:rPr>
              <w:t>07.06.2022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697E" w:rsidRDefault="00ED697E" w:rsidP="00EB3B50">
            <w:pPr>
              <w:jc w:val="right"/>
              <w:rPr>
                <w:b/>
                <w:szCs w:val="22"/>
              </w:rPr>
            </w:pPr>
          </w:p>
        </w:tc>
        <w:tc>
          <w:tcPr>
            <w:tcW w:w="3072" w:type="dxa"/>
            <w:tcBorders>
              <w:top w:val="single" w:sz="4" w:space="0" w:color="000000"/>
            </w:tcBorders>
            <w:vAlign w:val="bottom"/>
          </w:tcPr>
          <w:p w:rsidR="00ED697E" w:rsidRDefault="00ED697E" w:rsidP="00EB3B50">
            <w:pPr>
              <w:jc w:val="right"/>
            </w:pPr>
            <w:r>
              <w:rPr>
                <w:b/>
                <w:szCs w:val="22"/>
              </w:rPr>
              <w:t>Е.Н. Егорова</w:t>
            </w:r>
          </w:p>
        </w:tc>
        <w:tc>
          <w:tcPr>
            <w:tcW w:w="15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ED697E" w:rsidRDefault="00ED697E" w:rsidP="00EB3B50">
            <w:pPr>
              <w:rPr>
                <w:b/>
                <w:sz w:val="22"/>
                <w:szCs w:val="22"/>
              </w:rPr>
            </w:pPr>
          </w:p>
        </w:tc>
      </w:tr>
      <w:tr w:rsidR="00ED697E" w:rsidTr="00EB3B50">
        <w:trPr>
          <w:cantSplit/>
          <w:trHeight w:hRule="exact" w:val="280"/>
        </w:trPr>
        <w:tc>
          <w:tcPr>
            <w:tcW w:w="5221" w:type="dxa"/>
            <w:gridSpan w:val="7"/>
            <w:tcBorders>
              <w:left w:val="single" w:sz="4" w:space="0" w:color="000000"/>
            </w:tcBorders>
          </w:tcPr>
          <w:p w:rsidR="00ED697E" w:rsidRDefault="00ED697E" w:rsidP="00EB3B50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ED697E" w:rsidRDefault="00ED697E" w:rsidP="00EB3B50">
            <w:pPr>
              <w:jc w:val="center"/>
            </w:pPr>
            <w:r>
              <w:t>(подпись)</w:t>
            </w:r>
          </w:p>
        </w:tc>
        <w:tc>
          <w:tcPr>
            <w:tcW w:w="3072" w:type="dxa"/>
          </w:tcPr>
          <w:p w:rsidR="00ED697E" w:rsidRDefault="00ED697E" w:rsidP="00EB3B50"/>
        </w:tc>
        <w:tc>
          <w:tcPr>
            <w:tcW w:w="150" w:type="dxa"/>
            <w:tcBorders>
              <w:right w:val="single" w:sz="4" w:space="0" w:color="000000"/>
            </w:tcBorders>
          </w:tcPr>
          <w:p w:rsidR="00ED697E" w:rsidRDefault="00ED697E" w:rsidP="00EB3B50">
            <w:pPr>
              <w:rPr>
                <w:sz w:val="22"/>
                <w:szCs w:val="22"/>
              </w:rPr>
            </w:pPr>
          </w:p>
        </w:tc>
      </w:tr>
      <w:tr w:rsidR="00ED697E" w:rsidTr="00EB3B50">
        <w:trPr>
          <w:cantSplit/>
        </w:trPr>
        <w:tc>
          <w:tcPr>
            <w:tcW w:w="1231" w:type="dxa"/>
            <w:tcBorders>
              <w:left w:val="single" w:sz="4" w:space="0" w:color="000000"/>
            </w:tcBorders>
            <w:vAlign w:val="bottom"/>
          </w:tcPr>
          <w:p w:rsidR="00ED697E" w:rsidRDefault="00ED697E" w:rsidP="00EB3B50">
            <w:r>
              <w:t>3.2. Дата      “</w:t>
            </w:r>
          </w:p>
        </w:tc>
        <w:tc>
          <w:tcPr>
            <w:tcW w:w="357" w:type="dxa"/>
            <w:tcBorders>
              <w:bottom w:val="single" w:sz="4" w:space="0" w:color="000000"/>
            </w:tcBorders>
            <w:vAlign w:val="bottom"/>
          </w:tcPr>
          <w:p w:rsidR="00ED697E" w:rsidRDefault="00ED697E" w:rsidP="00EB3B50">
            <w:pPr>
              <w:jc w:val="center"/>
            </w:pPr>
            <w:r>
              <w:t>17</w:t>
            </w:r>
          </w:p>
        </w:tc>
        <w:tc>
          <w:tcPr>
            <w:tcW w:w="384" w:type="dxa"/>
            <w:vAlign w:val="bottom"/>
          </w:tcPr>
          <w:p w:rsidR="00ED697E" w:rsidRDefault="00ED697E" w:rsidP="00EB3B50">
            <w:r>
              <w:t>”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 w:rsidR="00ED697E" w:rsidRDefault="00ED697E" w:rsidP="00ED697E">
            <w:r>
              <w:t xml:space="preserve"> </w:t>
            </w:r>
            <w:r>
              <w:t>дека</w:t>
            </w:r>
            <w:r>
              <w:t>бря</w:t>
            </w:r>
          </w:p>
        </w:tc>
        <w:tc>
          <w:tcPr>
            <w:tcW w:w="416" w:type="dxa"/>
            <w:vAlign w:val="bottom"/>
          </w:tcPr>
          <w:p w:rsidR="00ED697E" w:rsidRDefault="00ED697E" w:rsidP="00EB3B50">
            <w:pPr>
              <w:jc w:val="right"/>
            </w:pPr>
            <w:r>
              <w:t>20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 w:rsidR="00ED697E" w:rsidRDefault="00ED697E" w:rsidP="00EB3B50">
            <w:r>
              <w:t>24</w:t>
            </w:r>
          </w:p>
        </w:tc>
        <w:tc>
          <w:tcPr>
            <w:tcW w:w="1209" w:type="dxa"/>
            <w:vAlign w:val="bottom"/>
          </w:tcPr>
          <w:p w:rsidR="00ED697E" w:rsidRDefault="00ED697E" w:rsidP="00EB3B50">
            <w:r>
              <w:t>г.</w:t>
            </w:r>
          </w:p>
        </w:tc>
        <w:tc>
          <w:tcPr>
            <w:tcW w:w="1338" w:type="dxa"/>
            <w:vAlign w:val="bottom"/>
          </w:tcPr>
          <w:p w:rsidR="00ED697E" w:rsidRDefault="00ED697E" w:rsidP="00EB3B50">
            <w:pPr>
              <w:jc w:val="center"/>
            </w:pPr>
          </w:p>
        </w:tc>
        <w:tc>
          <w:tcPr>
            <w:tcW w:w="3684" w:type="dxa"/>
            <w:gridSpan w:val="3"/>
            <w:tcBorders>
              <w:right w:val="single" w:sz="4" w:space="0" w:color="000000"/>
            </w:tcBorders>
            <w:vAlign w:val="bottom"/>
          </w:tcPr>
          <w:p w:rsidR="00ED697E" w:rsidRDefault="00ED697E" w:rsidP="00EB3B50"/>
        </w:tc>
      </w:tr>
      <w:tr w:rsidR="00ED697E" w:rsidTr="00EB3B50">
        <w:trPr>
          <w:cantSplit/>
        </w:trPr>
        <w:tc>
          <w:tcPr>
            <w:tcW w:w="522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ED697E" w:rsidRDefault="00ED697E" w:rsidP="00EB3B50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ED697E" w:rsidRDefault="00ED697E" w:rsidP="00EB3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ED697E" w:rsidRDefault="00ED697E" w:rsidP="00EB3B50">
            <w:pPr>
              <w:rPr>
                <w:sz w:val="22"/>
                <w:szCs w:val="22"/>
              </w:rPr>
            </w:pPr>
          </w:p>
        </w:tc>
      </w:tr>
    </w:tbl>
    <w:p w:rsidR="00ED697E" w:rsidRDefault="00ED697E" w:rsidP="007953C5">
      <w:pPr>
        <w:rPr>
          <w:sz w:val="18"/>
        </w:rPr>
      </w:pPr>
    </w:p>
    <w:sectPr w:rsidR="00ED697E">
      <w:headerReference w:type="default" r:id="rId9"/>
      <w:pgSz w:w="11906" w:h="16838"/>
      <w:pgMar w:top="851" w:right="851" w:bottom="851" w:left="1701" w:header="284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C63" w:rsidRDefault="0067023E">
      <w:r>
        <w:separator/>
      </w:r>
    </w:p>
  </w:endnote>
  <w:endnote w:type="continuationSeparator" w:id="0">
    <w:p w:rsidR="00483C63" w:rsidRDefault="0067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HP Simplified"/>
    <w:charset w:val="00"/>
    <w:family w:val="auto"/>
    <w:pitch w:val="default"/>
  </w:font>
  <w:font w:name="Lohit Devanagari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C63" w:rsidRDefault="0067023E">
      <w:r>
        <w:separator/>
      </w:r>
    </w:p>
  </w:footnote>
  <w:footnote w:type="continuationSeparator" w:id="0">
    <w:p w:rsidR="00483C63" w:rsidRDefault="00670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C63" w:rsidRDefault="0067023E">
    <w:pPr>
      <w:pStyle w:val="afd"/>
    </w:pPr>
    <w:r>
      <w:rPr>
        <w:noProof/>
        <w:lang w:eastAsia="ru-RU"/>
      </w:rPr>
      <mc:AlternateContent>
        <mc:Choice Requires="wpg">
          <w:drawing>
            <wp:anchor distT="0" distB="0" distL="109220" distR="109220" simplePos="0" relativeHeight="251657728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8740" cy="20320"/>
              <wp:effectExtent l="5080" t="5080" r="5080" b="5080"/>
              <wp:wrapSquare wrapText="bothSides"/>
              <wp:docPr id="1" name="_x005F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884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0" o:spid="_x0000_s0" o:spt="1" type="#_x0000_t1" style="position:absolute;z-index:-251657728;o:allowoverlap:true;o:allowincell:false;mso-position-horizontal-relative:text;margin-left:0.0pt;mso-position-horizontal:absolute;mso-position-vertical-relative:text;margin-top:0.0pt;mso-position-vertical:absolute;width:6.2pt;height:1.6pt;mso-wrap-distance-left:8.6pt;mso-wrap-distance-top:0.0pt;mso-wrap-distance-right:8.6pt;mso-wrap-distance-bottom:0.0pt;visibility:visible;" fillcolor="#FFFFFF" strokecolor="#000000" strokeweight="0.74pt"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23410"/>
    <w:multiLevelType w:val="multilevel"/>
    <w:tmpl w:val="4FC003F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63"/>
    <w:rsid w:val="0016265A"/>
    <w:rsid w:val="002728FB"/>
    <w:rsid w:val="003517BE"/>
    <w:rsid w:val="00483C63"/>
    <w:rsid w:val="0067023E"/>
    <w:rsid w:val="00675B9E"/>
    <w:rsid w:val="007953C5"/>
    <w:rsid w:val="00A42679"/>
    <w:rsid w:val="00A87A10"/>
    <w:rsid w:val="00EB2268"/>
    <w:rsid w:val="00ED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C61F8-8EB9-4A90-B5D4-783A261D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Devanagari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WW8Num3z0">
    <w:name w:val="WW8Num3z0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</w:style>
  <w:style w:type="character" w:customStyle="1" w:styleId="WW8Num7z1">
    <w:name w:val="WW8Num7z1"/>
    <w:qFormat/>
  </w:style>
  <w:style w:type="character" w:customStyle="1" w:styleId="WW8Num8z0">
    <w:name w:val="WW8Num8z0"/>
    <w:qFormat/>
  </w:style>
  <w:style w:type="character" w:customStyle="1" w:styleId="WW8Num11z0">
    <w:name w:val="WW8Num11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7z2">
    <w:name w:val="WW8Num17z2"/>
    <w:qFormat/>
  </w:style>
  <w:style w:type="character" w:customStyle="1" w:styleId="WW8Num18z0">
    <w:name w:val="WW8Num18z0"/>
    <w:qFormat/>
    <w:rPr>
      <w:color w:val="000000"/>
    </w:rPr>
  </w:style>
  <w:style w:type="character" w:customStyle="1" w:styleId="WW8Num20z0">
    <w:name w:val="WW8Num20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sz w:val="26"/>
      <w:szCs w:val="26"/>
    </w:rPr>
  </w:style>
  <w:style w:type="character" w:customStyle="1" w:styleId="WW8Num23z2">
    <w:name w:val="WW8Num23z2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color w:val="000000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customStyle="1" w:styleId="20">
    <w:name w:val="Основной текст с отступом 2 Знак"/>
    <w:qFormat/>
    <w:rPr>
      <w:sz w:val="28"/>
      <w:szCs w:val="24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9">
    <w:name w:val="Обычный (веб) Знак"/>
    <w:qFormat/>
    <w:rPr>
      <w:rFonts w:eastAsia="Calibri"/>
      <w:sz w:val="24"/>
      <w:szCs w:val="24"/>
      <w:lang w:val="en-GB"/>
    </w:rPr>
  </w:style>
  <w:style w:type="character" w:styleId="aa">
    <w:name w:val="Strong"/>
    <w:qFormat/>
    <w:rPr>
      <w:b/>
      <w:bCs/>
    </w:rPr>
  </w:style>
  <w:style w:type="character" w:customStyle="1" w:styleId="Style12ptBoldItalic">
    <w:name w:val="Style 12 pt Bold Italic"/>
    <w:qFormat/>
    <w:rPr>
      <w:rFonts w:ascii="Times New Roman" w:hAnsi="Times New Roman" w:cs="Times New Roman"/>
      <w:b/>
      <w:bCs/>
      <w:i/>
      <w:iCs/>
      <w:sz w:val="22"/>
    </w:rPr>
  </w:style>
  <w:style w:type="character" w:styleId="ab">
    <w:name w:val="FollowedHyperlink"/>
    <w:rPr>
      <w:color w:val="954F72"/>
      <w:u w:val="single"/>
    </w:rPr>
  </w:style>
  <w:style w:type="character" w:customStyle="1" w:styleId="ac">
    <w:name w:val="Символ нумераци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1">
    <w:name w:val="index heading"/>
    <w:basedOn w:val="ad"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uiPriority w:val="1"/>
    <w:qFormat/>
  </w:style>
  <w:style w:type="paragraph" w:styleId="af4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5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6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8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9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a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</w:style>
  <w:style w:type="paragraph" w:styleId="afc">
    <w:name w:val="table of figures"/>
    <w:basedOn w:val="a"/>
    <w:uiPriority w:val="99"/>
    <w:unhideWhenUsed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d">
    <w:name w:val="header"/>
    <w:basedOn w:val="a"/>
    <w:pPr>
      <w:tabs>
        <w:tab w:val="center" w:pos="4153"/>
        <w:tab w:val="right" w:pos="8306"/>
      </w:tabs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qFormat/>
    <w:pPr>
      <w:ind w:firstLine="709"/>
      <w:jc w:val="both"/>
    </w:pPr>
    <w:rPr>
      <w:sz w:val="24"/>
      <w:szCs w:val="24"/>
    </w:rPr>
  </w:style>
  <w:style w:type="paragraph" w:styleId="23">
    <w:name w:val="Body Text Indent 2"/>
    <w:basedOn w:val="a"/>
    <w:qFormat/>
    <w:pPr>
      <w:spacing w:after="120" w:line="480" w:lineRule="auto"/>
      <w:ind w:left="283" w:firstLine="709"/>
      <w:jc w:val="both"/>
    </w:pPr>
    <w:rPr>
      <w:sz w:val="28"/>
      <w:szCs w:val="24"/>
    </w:rPr>
  </w:style>
  <w:style w:type="paragraph" w:styleId="HTML0">
    <w:name w:val="HTML Preformatted"/>
    <w:basedOn w:val="a"/>
    <w:qFormat/>
    <w:rPr>
      <w:rFonts w:ascii="Courier New" w:hAnsi="Courier New" w:cs="Courier New"/>
    </w:rPr>
  </w:style>
  <w:style w:type="paragraph" w:customStyle="1" w:styleId="ConsPlusNormal">
    <w:name w:val="ConsPlusNormal"/>
    <w:qFormat/>
    <w:rPr>
      <w:rFonts w:eastAsia="Times New Roman" w:cs="Times New Roman"/>
      <w:sz w:val="24"/>
      <w:szCs w:val="24"/>
      <w:lang w:bidi="ar-SA"/>
    </w:rPr>
  </w:style>
  <w:style w:type="paragraph" w:styleId="aff">
    <w:name w:val="Normal (Web)"/>
    <w:basedOn w:val="a"/>
    <w:qFormat/>
    <w:pPr>
      <w:spacing w:before="280" w:after="280"/>
    </w:pPr>
    <w:rPr>
      <w:rFonts w:eastAsia="Calibri"/>
      <w:sz w:val="24"/>
      <w:szCs w:val="24"/>
      <w:lang w:val="en-GB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Содержимое врезки"/>
    <w:basedOn w:val="a"/>
    <w:qFormat/>
  </w:style>
  <w:style w:type="table" w:styleId="aff3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41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51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42">
    <w:name w:val="Абзац 4"/>
    <w:basedOn w:val="aff2"/>
    <w:hidden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eastAsiaTheme="minorEastAsia" w:cstheme="minorBidi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disclosure.ru/portal/company.aspx?id=72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gk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shamne.anna</dc:creator>
  <dc:description/>
  <cp:lastModifiedBy>Палинова Екатерина Александровна</cp:lastModifiedBy>
  <cp:revision>2</cp:revision>
  <cp:lastPrinted>2024-12-17T07:44:00Z</cp:lastPrinted>
  <dcterms:created xsi:type="dcterms:W3CDTF">2024-12-17T07:52:00Z</dcterms:created>
  <dcterms:modified xsi:type="dcterms:W3CDTF">2024-12-17T07:52:00Z</dcterms:modified>
  <dc:language>ru-RU</dc:language>
</cp:coreProperties>
</file>