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284"/>
        <w:jc w:val="center"/>
        <w:rPr>
          <w:rFonts w:ascii="Liberation Serif" w:hAnsi="Liberation Serif" w:cs="Liberation Serif"/>
          <w:b/>
          <w:bCs/>
          <w:color w:val="000000"/>
          <w:sz w:val="21"/>
          <w:szCs w:val="21"/>
        </w:rPr>
      </w:pPr>
      <w:r>
        <w:rPr>
          <w:rFonts w:ascii="Liberation Serif" w:hAnsi="Liberation Serif" w:eastAsia="Liberation Serif" w:cs="Liberation Serif"/>
          <w:b/>
          <w:color w:val="000000"/>
          <w:sz w:val="21"/>
          <w:szCs w:val="21"/>
          <w:highlight w:val="none"/>
        </w:rPr>
      </w:r>
      <w:r>
        <w:rPr>
          <w:rFonts w:ascii="Liberation Serif" w:hAnsi="Liberation Serif" w:cs="Liberation Serif"/>
          <w:b/>
          <w:bCs/>
          <w:color w:val="000000"/>
          <w:sz w:val="21"/>
          <w:szCs w:val="21"/>
        </w:rPr>
      </w:r>
      <w:r>
        <w:rPr>
          <w:rFonts w:ascii="Liberation Serif" w:hAnsi="Liberation Serif" w:cs="Liberation Serif"/>
          <w:b/>
          <w:bCs/>
          <w:color w:val="000000"/>
          <w:sz w:val="21"/>
          <w:szCs w:val="21"/>
        </w:rPr>
      </w:r>
    </w:p>
    <w:p>
      <w:pPr>
        <w:ind w:left="0"/>
        <w:jc w:val="center"/>
        <w:rPr>
          <w:rFonts w:ascii="Liberation Serif" w:hAnsi="Liberation Serif" w:cs="Liberation Serif"/>
          <w:b/>
          <w:bCs/>
          <w:color w:val="000000"/>
          <w:sz w:val="21"/>
          <w:szCs w:val="21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21"/>
          <w:szCs w:val="21"/>
        </w:rPr>
        <w:t xml:space="preserve">Сообщение о существенном факте</w:t>
      </w:r>
      <w:r>
        <w:rPr>
          <w:rFonts w:ascii="Liberation Serif" w:hAnsi="Liberation Serif" w:eastAsia="Liberation Serif" w:cs="Liberation Serif"/>
          <w:b/>
          <w:bCs/>
          <w:sz w:val="21"/>
          <w:szCs w:val="21"/>
        </w:rPr>
        <w:br/>
        <w:t xml:space="preserve">«</w:t>
      </w:r>
      <w:r>
        <w:rPr>
          <w:rFonts w:ascii="Liberation Serif" w:hAnsi="Liberation Serif" w:eastAsia="Liberation Serif" w:cs="Liberation Serif"/>
          <w:b/>
          <w:color w:val="000000"/>
          <w:sz w:val="21"/>
          <w:szCs w:val="21"/>
        </w:rPr>
        <w:t xml:space="preserve">Об отдельных решениях, принятых советом директоров эмитента»</w:t>
      </w:r>
      <w:r>
        <w:rPr>
          <w:rFonts w:ascii="Liberation Serif" w:hAnsi="Liberation Serif" w:cs="Liberation Serif"/>
          <w:b/>
          <w:bCs/>
          <w:color w:val="000000"/>
          <w:sz w:val="21"/>
          <w:szCs w:val="21"/>
          <w:highlight w:val="none"/>
        </w:rPr>
      </w:r>
      <w:r>
        <w:rPr>
          <w:rFonts w:ascii="Liberation Serif" w:hAnsi="Liberation Serif" w:cs="Liberation Serif"/>
          <w:b/>
          <w:bCs/>
          <w:color w:val="000000"/>
          <w:sz w:val="21"/>
          <w:szCs w:val="21"/>
          <w:highlight w:val="none"/>
        </w:rPr>
      </w:r>
    </w:p>
    <w:p>
      <w:pPr>
        <w:ind w:left="-284"/>
        <w:jc w:val="center"/>
        <w:rPr>
          <w:rFonts w:ascii="Liberation Serif" w:hAnsi="Liberation Serif" w:cs="Liberation Serif"/>
          <w:b/>
          <w:color w:val="000000"/>
          <w:sz w:val="21"/>
          <w:szCs w:val="21"/>
        </w:rPr>
      </w:pPr>
      <w:r>
        <w:rPr>
          <w:rFonts w:ascii="Liberation Serif" w:hAnsi="Liberation Serif" w:eastAsia="Liberation Serif" w:cs="Liberation Serif"/>
          <w:b/>
          <w:color w:val="000000"/>
          <w:sz w:val="21"/>
          <w:szCs w:val="21"/>
        </w:rPr>
      </w:r>
      <w:r>
        <w:rPr>
          <w:rFonts w:ascii="Liberation Serif" w:hAnsi="Liberation Serif" w:cs="Liberation Serif"/>
          <w:b/>
          <w:color w:val="000000"/>
          <w:sz w:val="21"/>
          <w:szCs w:val="21"/>
        </w:rPr>
      </w:r>
      <w:r>
        <w:rPr>
          <w:rFonts w:ascii="Liberation Serif" w:hAnsi="Liberation Serif" w:cs="Liberation Serif"/>
          <w:b/>
          <w:color w:val="000000"/>
          <w:sz w:val="21"/>
          <w:szCs w:val="21"/>
        </w:rPr>
      </w:r>
    </w:p>
    <w:tbl>
      <w:tblPr>
        <w:tblW w:w="10348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6"/>
        <w:gridCol w:w="5102"/>
      </w:tblGrid>
      <w:tr>
        <w:tblPrEx/>
        <w:trPr/>
        <w:tc>
          <w:tcPr>
            <w:gridSpan w:val="2"/>
            <w:tcW w:w="1034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 Общие сведения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trHeight w:val="634"/>
        </w:trPr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1.1. Полное фирменное наименование (для коммерческой организации) или наименование (для некоммерческой организации) эмитента</w:t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Style w:val="1004"/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  <w:t xml:space="preserve">Публичное акционерное общество «Вторая генерирующая компания оптового рынка электроэнергии»</w:t>
            </w:r>
            <w:r>
              <w:rPr>
                <w:rStyle w:val="1004"/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Style w:val="1004"/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1.2. Адрес эмитента, указанный в едином государственном реестре юридических лиц</w:t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Style w:val="1004"/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  <w:t xml:space="preserve">196605, г. Санкт-Петербург, вн.тер.г. поселок Шушары, ш Петербургское, д. 66, к. 1, литера А, этаж 7, помещ. 36-Н, каб. 701</w:t>
            </w:r>
            <w:r>
              <w:rPr>
                <w:rStyle w:val="1004"/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Style w:val="1004"/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1.3. Основной государственный регистрационный номер (ОГРН) эмитента (при наличии) 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  <w:t xml:space="preserve">1052600002180</w:t>
            </w:r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1.4. Идентификационный номер налогоплательщика (ИНН) эмитента (при наличии)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  <w:t xml:space="preserve">2607018122</w:t>
            </w:r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1.5. Уникальный код эмитента, присвоенный Банком России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  <w:t xml:space="preserve">65105-D</w:t>
            </w:r>
            <w:r>
              <w:rPr>
                <w:rFonts w:ascii="Liberation Serif" w:hAnsi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</w:r>
            <w:r>
              <w:rPr>
                <w:rFonts w:ascii="Liberation Serif" w:hAnsi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1.6. Адрес страницы в сети Интернет, используемой эмитентом для раскрытия информации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</w:r>
            <w:hyperlink r:id="rId12" w:tooltip="https://www.ogk2.ru" w:history="1">
              <w:r>
                <w:rPr>
                  <w:rStyle w:val="994"/>
                  <w:rFonts w:ascii="Liberation Serif" w:hAnsi="Liberation Serif" w:eastAsia="Liberation Serif" w:cs="Liberation Serif"/>
                  <w:b/>
                  <w:bCs/>
                  <w:iCs/>
                  <w:sz w:val="21"/>
                  <w:szCs w:val="21"/>
                </w:rPr>
                <w:t xml:space="preserve">http</w:t>
              </w:r>
              <w:r>
                <w:rPr>
                  <w:rStyle w:val="994"/>
                  <w:rFonts w:ascii="Liberation Serif" w:hAnsi="Liberation Serif" w:eastAsia="Liberation Serif" w:cs="Liberation Serif"/>
                  <w:b/>
                  <w:bCs/>
                  <w:iCs/>
                  <w:sz w:val="21"/>
                  <w:szCs w:val="21"/>
                  <w:lang w:val="en-US"/>
                </w:rPr>
                <w:t xml:space="preserve">s</w:t>
              </w:r>
              <w:r>
                <w:rPr>
                  <w:rStyle w:val="994"/>
                  <w:rFonts w:ascii="Liberation Serif" w:hAnsi="Liberation Serif" w:eastAsia="Liberation Serif" w:cs="Liberation Serif"/>
                  <w:b/>
                  <w:bCs/>
                  <w:iCs/>
                  <w:sz w:val="21"/>
                  <w:szCs w:val="21"/>
                </w:rPr>
                <w:t xml:space="preserve">://www.ogk2.ru</w:t>
              </w:r>
            </w:hyperlink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</w:p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</w:r>
            <w:hyperlink r:id="rId13" w:tooltip="https://www.e-disclosure.ru/portal/company.aspx?id=7234" w:history="1">
              <w:r>
                <w:rPr>
                  <w:rStyle w:val="994"/>
                  <w:rFonts w:ascii="Liberation Serif" w:hAnsi="Liberation Serif" w:eastAsia="Liberation Serif" w:cs="Liberation Serif"/>
                  <w:b/>
                  <w:bCs/>
                  <w:iCs/>
                  <w:sz w:val="21"/>
                  <w:szCs w:val="21"/>
                </w:rPr>
                <w:t xml:space="preserve">http</w:t>
              </w:r>
              <w:r>
                <w:rPr>
                  <w:rStyle w:val="994"/>
                  <w:rFonts w:ascii="Liberation Serif" w:hAnsi="Liberation Serif" w:eastAsia="Liberation Serif" w:cs="Liberation Serif"/>
                  <w:b/>
                  <w:bCs/>
                  <w:iCs/>
                  <w:sz w:val="21"/>
                  <w:szCs w:val="21"/>
                  <w:lang w:val="en-US"/>
                </w:rPr>
                <w:t xml:space="preserve">s</w:t>
              </w:r>
              <w:r>
                <w:rPr>
                  <w:rStyle w:val="994"/>
                  <w:rFonts w:ascii="Liberation Serif" w:hAnsi="Liberation Serif" w:eastAsia="Liberation Serif" w:cs="Liberation Serif"/>
                  <w:b/>
                  <w:bCs/>
                  <w:iCs/>
                  <w:sz w:val="21"/>
                  <w:szCs w:val="21"/>
                </w:rPr>
                <w:t xml:space="preserve">://www.e-disclosure.ru/portal/company.aspx?id=7234</w:t>
              </w:r>
            </w:hyperlink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1.7. Дата наступления события (существенного факта), о котором составлено сообщение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Style w:val="994"/>
                <w:rFonts w:ascii="Liberation Serif" w:hAnsi="Liberation Serif" w:cs="Liberation Serif"/>
                <w:b/>
                <w:color w:val="000000" w:themeColor="text1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  <w:shd w:val="clear" w:color="auto" w:fill="ffffff"/>
              </w:rPr>
              <w:t xml:space="preserve">09.09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  <w:shd w:val="clear" w:color="auto" w:fill="ffffff"/>
              </w:rPr>
              <w:t xml:space="preserve">.202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  <w:shd w:val="clear" w:color="auto" w:fill="ffffff"/>
              </w:rPr>
              <w:t xml:space="preserve">6</w:t>
            </w:r>
            <w:r>
              <w:rPr>
                <w:rStyle w:val="994"/>
                <w:rFonts w:ascii="Liberation Serif" w:hAnsi="Liberation Serif" w:cs="Liberation Serif"/>
                <w:b/>
                <w:color w:val="000000" w:themeColor="text1"/>
                <w:sz w:val="21"/>
                <w:szCs w:val="21"/>
              </w:rPr>
            </w:r>
            <w:r>
              <w:rPr>
                <w:rStyle w:val="994"/>
                <w:rFonts w:ascii="Liberation Serif" w:hAnsi="Liberation Serif" w:cs="Liberation Serif"/>
                <w:b/>
                <w:color w:val="000000" w:themeColor="text1"/>
                <w:sz w:val="21"/>
                <w:szCs w:val="21"/>
              </w:rPr>
            </w:r>
          </w:p>
        </w:tc>
      </w:tr>
    </w:tbl>
    <w:p>
      <w:pPr>
        <w:ind w:left="57" w:right="57"/>
        <w:rPr>
          <w:rFonts w:ascii="Liberation Serif" w:hAnsi="Liberation Serif" w:cs="Liberation Serif"/>
          <w:sz w:val="21"/>
          <w:szCs w:val="21"/>
        </w:rPr>
        <w:suppressLineNumbers w:val="0"/>
      </w:pPr>
      <w:r>
        <w:rPr>
          <w:rFonts w:ascii="Liberation Serif" w:hAnsi="Liberation Serif" w:eastAsia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10343" w:type="dxa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43"/>
      </w:tblGrid>
      <w:tr>
        <w:tblPrEx/>
        <w:trPr/>
        <w:tc>
          <w:tcPr>
            <w:tcW w:w="10343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2. Содержание сообщения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trHeight w:val="554"/>
        </w:trPr>
        <w:tc>
          <w:tcPr>
            <w:tcW w:w="10343" w:type="dxa"/>
            <w:textDirection w:val="lrTb"/>
            <w:noWrap w:val="false"/>
          </w:tcPr>
          <w:p>
            <w:pPr>
              <w:ind w:left="57" w:right="57" w:firstLine="0"/>
              <w:jc w:val="both"/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2.1. </w:t>
            </w:r>
            <w:r>
              <w:rPr>
                <w:rFonts w:ascii="Liberation Serif" w:hAnsi="Liberation Serif" w:eastAsia="Liberation Serif" w:cs="Liberation Serif" w:eastAsiaTheme="minorHAnsi"/>
                <w:color w:val="000000" w:themeColor="text1"/>
                <w:sz w:val="21"/>
                <w:szCs w:val="21"/>
                <w:lang w:eastAsia="en-US"/>
              </w:rPr>
              <w:t xml:space="preserve">Сведения о кворуме заседания Совета директоров эмитента: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</w:r>
          </w:p>
          <w:p>
            <w:pPr>
              <w:ind w:left="57" w:right="57" w:firstLine="0"/>
              <w:jc w:val="both"/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В заочном голосовании приняли участие 9 из 9 членов Совета директоров ПАО «ОГК-2», приславшие в установленный срок заполненные бюллетени для голосования. КВОРУМ ИМЕЛСЯ.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</w:r>
          </w:p>
          <w:p>
            <w:pPr>
              <w:ind w:left="57" w:right="57" w:firstLine="0"/>
              <w:jc w:val="both"/>
              <w:spacing w:line="240" w:lineRule="auto"/>
              <w:tabs>
                <w:tab w:val="left" w:pos="547" w:leader="none"/>
              </w:tabs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ind w:left="57" w:right="57" w:firstLine="0"/>
              <w:jc w:val="both"/>
              <w:spacing w:line="240" w:lineRule="auto"/>
              <w:tabs>
                <w:tab w:val="left" w:pos="547" w:leader="none"/>
              </w:tabs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2.2. Содержание решений, принятых советом директоров эмитента: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ind w:left="57" w:right="57" w:firstLine="0"/>
              <w:jc w:val="both"/>
              <w:spacing w:line="240" w:lineRule="auto"/>
              <w:tabs>
                <w:tab w:val="left" w:pos="547" w:leader="none"/>
              </w:tabs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  <w:t xml:space="preserve">Вопрос: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pStyle w:val="1006"/>
              <w:numPr>
                <w:ilvl w:val="0"/>
                <w:numId w:val="53"/>
              </w:numPr>
              <w:ind w:left="57" w:right="57" w:firstLine="0"/>
              <w:spacing w:before="20" w:after="20"/>
              <w:tabs>
                <w:tab w:val="left" w:pos="283" w:leader="none"/>
              </w:tabs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Об определении закупочной политики в Обществе.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pStyle w:val="1006"/>
              <w:ind w:left="57" w:right="57" w:firstLine="0"/>
              <w:spacing w:before="20" w:after="20" w:line="240" w:lineRule="auto"/>
              <w:tabs>
                <w:tab w:val="left" w:pos="283" w:leader="none"/>
              </w:tabs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1.1.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ab/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Об утверждении Годовой комплексной программы закупок ПАО «ОГК-2» под нужды 2027 года (1 этап).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ind w:left="57" w:right="57"/>
              <w:jc w:val="both"/>
              <w:spacing w:line="240" w:lineRule="auto"/>
              <w:shd w:val="clear" w:color="auto" w:fill="ffffff"/>
              <w:widowControl w:val="off"/>
              <w:tabs>
                <w:tab w:val="left" w:pos="426" w:leader="none"/>
                <w:tab w:val="left" w:pos="851" w:leader="none"/>
              </w:tabs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Результаты голосования: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 За – 9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,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 Против –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, Воздержался –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, не учитывались при голосовании – 0.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pStyle w:val="1003"/>
              <w:ind w:left="57" w:right="57"/>
              <w:jc w:val="both"/>
              <w:spacing w:line="240" w:lineRule="auto"/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</w:rPr>
              <w:t xml:space="preserve">При</w:t>
            </w: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</w:rPr>
              <w:t xml:space="preserve">нятое решение:</w:t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</w:r>
          </w:p>
          <w:p>
            <w:pPr>
              <w:pStyle w:val="1006"/>
              <w:ind w:left="57" w:right="57"/>
              <w:spacing w:before="20" w:after="20"/>
              <w:tabs>
                <w:tab w:val="left" w:pos="284" w:leader="none"/>
              </w:tabs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ab/>
              <w:t xml:space="preserve">Утвердить Годовую комплексную программу закупок Общества под нужды 2027 года (1 этап) согласно Приложению № 1.1 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к решению Совета директоров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pStyle w:val="1006"/>
              <w:ind w:left="57" w:right="57"/>
              <w:spacing w:before="20" w:after="20"/>
              <w:tabs>
                <w:tab w:val="left" w:pos="284" w:leader="none"/>
              </w:tabs>
              <w:rPr>
                <w:rFonts w:ascii="Liberation Serif" w:hAnsi="Liberation Serif" w:cs="Liberation Serif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2.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ab/>
              <w:t xml:space="preserve">Поручить менеджменту Общества обеспечить размещение Плана закупки в Единой информационной системе в соответствии с Постановлением Правительства Российской Федерац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ии от 10.09.2012 № 908 «Об утверждении Положения о размещении в единой информационной системе, на официальном сайте такой системы в информационно-телекоммуникационной сети «Интернет» положения о закупке, типового положения о закупке, информации о закупке».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sz w:val="21"/>
                <w:szCs w:val="21"/>
                <w:highlight w:val="none"/>
              </w:rPr>
            </w:r>
          </w:p>
          <w:p>
            <w:pPr>
              <w:pStyle w:val="1006"/>
              <w:ind w:left="57" w:right="57"/>
              <w:spacing w:before="20" w:after="20" w:line="240" w:lineRule="auto"/>
              <w:rPr>
                <w:rFonts w:ascii="Liberation Serif" w:hAnsi="Liberation Serif" w:cs="Liberation Serif"/>
                <w:b/>
                <w:bCs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1"/>
                <w:szCs w:val="21"/>
                <w:highlight w:val="none"/>
              </w:rPr>
              <w:t xml:space="preserve">Вопрос:</w:t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  <w:highlight w:val="none"/>
              </w:rPr>
            </w:r>
          </w:p>
          <w:p>
            <w:pPr>
              <w:pStyle w:val="1006"/>
              <w:ind w:left="57"/>
              <w:spacing w:before="20" w:after="20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  <w:highlight w:val="none"/>
              </w:rPr>
              <w:t xml:space="preserve">2. 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Об утверждении отчета об устойчивом развитии Общества за 2025 год.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ind w:left="57" w:right="57"/>
              <w:jc w:val="both"/>
              <w:spacing w:line="240" w:lineRule="auto"/>
              <w:shd w:val="clear" w:color="auto" w:fill="ffffff"/>
              <w:widowControl w:val="off"/>
              <w:tabs>
                <w:tab w:val="left" w:pos="426" w:leader="none"/>
                <w:tab w:val="left" w:pos="851" w:leader="none"/>
              </w:tabs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Результаты голосования: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 За – 9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,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 Против –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, Воздержался –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, не учитывались при голосовании – 0.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pStyle w:val="1003"/>
              <w:ind w:left="57" w:right="57"/>
              <w:jc w:val="both"/>
              <w:spacing w:line="240" w:lineRule="auto"/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</w:rPr>
              <w:t xml:space="preserve">При</w:t>
            </w: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</w:rPr>
              <w:t xml:space="preserve">нятое решение:</w:t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</w:r>
          </w:p>
          <w:p>
            <w:pPr>
              <w:pStyle w:val="1006"/>
              <w:ind w:left="57"/>
              <w:spacing w:before="20" w:after="20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Утвердить Отчет об устойчивом развитии ПАО «ОГК-2» за 2025 год в соответствии с Приложением № 2 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к решению Совета директоров.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2.3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. Дата проведения заседания совета директоров эмитента, на котором приняты решения: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 09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.09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.2026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color w:val="auto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auto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auto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color w:val="auto"/>
                <w:sz w:val="21"/>
                <w:szCs w:val="21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color w:val="auto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2.4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. Дата составления и номер протокола заседания совета директоров эмитента, на котором приняты решения: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Протокол от 09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.09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.2026 </w:t>
            </w:r>
            <w:r>
              <w:rPr>
                <w:rFonts w:ascii="Liberation Serif" w:hAnsi="Liberation Serif" w:eastAsia="Liberation Serif" w:cs="Liberation Serif"/>
                <w:b/>
                <w:color w:val="auto"/>
                <w:sz w:val="21"/>
                <w:szCs w:val="21"/>
              </w:rPr>
              <w:t xml:space="preserve">№ </w:t>
            </w:r>
            <w:r>
              <w:rPr>
                <w:rFonts w:ascii="Liberation Serif" w:hAnsi="Liberation Serif" w:eastAsia="Liberation Serif" w:cs="Liberation Serif"/>
                <w:b/>
                <w:color w:val="auto"/>
                <w:sz w:val="21"/>
                <w:szCs w:val="21"/>
              </w:rPr>
              <w:t xml:space="preserve">387</w:t>
            </w:r>
            <w:r>
              <w:rPr>
                <w:rFonts w:ascii="Liberation Serif" w:hAnsi="Liberation Serif" w:eastAsia="Liberation Serif" w:cs="Liberation Serif"/>
                <w:b/>
                <w:color w:val="auto"/>
                <w:sz w:val="21"/>
                <w:szCs w:val="21"/>
              </w:rPr>
              <w:t xml:space="preserve">.</w:t>
            </w:r>
            <w:r>
              <w:rPr>
                <w:rFonts w:ascii="Liberation Serif" w:hAnsi="Liberation Serif" w:cs="Liberation Serif"/>
                <w:b/>
                <w:bCs/>
                <w:color w:val="auto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color w:val="auto"/>
                <w:sz w:val="21"/>
                <w:szCs w:val="21"/>
                <w:highlight w:val="none"/>
              </w:rPr>
            </w:r>
          </w:p>
        </w:tc>
      </w:tr>
    </w:tbl>
    <w:p>
      <w:pPr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eastAsia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10343" w:type="dxa"/>
        <w:tblInd w:w="-14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283"/>
        <w:gridCol w:w="271"/>
        <w:gridCol w:w="1317"/>
        <w:gridCol w:w="416"/>
        <w:gridCol w:w="307"/>
        <w:gridCol w:w="1516"/>
        <w:gridCol w:w="1031"/>
        <w:gridCol w:w="812"/>
        <w:gridCol w:w="2722"/>
        <w:gridCol w:w="534"/>
      </w:tblGrid>
      <w:tr>
        <w:tblPrEx/>
        <w:trPr>
          <w:cantSplit/>
          <w:trHeight w:val="248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3. Подпись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cantSplit/>
          <w:trHeight w:val="859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</w:tcBorders>
            <w:tcW w:w="5244" w:type="dxa"/>
            <w:textDirection w:val="lrTb"/>
            <w:noWrap w:val="false"/>
          </w:tcPr>
          <w:p>
            <w:pPr>
              <w:pStyle w:val="1003"/>
              <w:ind w:left="57"/>
              <w:rPr>
                <w:rFonts w:ascii="Liberation Serif" w:hAnsi="Liberation Serif" w:cs="Liberation Serif"/>
                <w:b/>
                <w:bCs/>
                <w:color w:val="000000"/>
                <w:sz w:val="21"/>
                <w:szCs w:val="21"/>
                <w:highlight w:val="whit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  <w:highlight w:val="white"/>
              </w:rPr>
              <w:t xml:space="preserve">3.1.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</w:rPr>
              <w:t xml:space="preserve">Начальник Управления корпоративных и имущественных отношений, действующий на основании доверенности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highlight w:val="white"/>
              </w:rPr>
              <w:t xml:space="preserve">№ 78/362-н/78-2025-3-1278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highlight w:val="white"/>
              </w:rPr>
              <w:t xml:space="preserve">от 10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1"/>
                <w:szCs w:val="21"/>
                <w:highlight w:val="white"/>
              </w:rPr>
              <w:t xml:space="preserve">.12.2025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1"/>
                <w:szCs w:val="21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b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272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1"/>
                <w:szCs w:val="21"/>
                <w:highlight w:val="none"/>
              </w:rPr>
              <w:t xml:space="preserve">Е.Н. Егорова</w:t>
            </w:r>
            <w:r>
              <w:rPr>
                <w:rFonts w:ascii="Liberation Serif" w:hAnsi="Liberation Serif" w:cs="Liberation Serif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534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sz w:val="21"/>
                <w:szCs w:val="21"/>
                <w:highlight w:val="white"/>
              </w:rPr>
            </w:r>
          </w:p>
        </w:tc>
      </w:tr>
      <w:tr>
        <w:tblPrEx/>
        <w:trPr>
          <w:cantSplit/>
          <w:trHeight w:val="280" w:hRule="exact"/>
        </w:trPr>
        <w:tc>
          <w:tcPr>
            <w:gridSpan w:val="7"/>
            <w:tcBorders>
              <w:left w:val="single" w:color="000000" w:sz="4" w:space="0"/>
            </w:tcBorders>
            <w:tcW w:w="524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(подпись)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</w:tr>
      <w:tr>
        <w:tblPrEx/>
        <w:trPr>
          <w:cantSplit/>
        </w:trPr>
        <w:tc>
          <w:tcPr>
            <w:tcBorders>
              <w:left w:val="single" w:color="000000" w:sz="4" w:space="0"/>
              <w:bottom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3.2. Дата  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“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8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none"/>
              </w:rPr>
              <w:t xml:space="preserve">10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71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”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31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сентября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16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20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0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6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516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.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03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gridSpan w:val="3"/>
            <w:tcBorders>
              <w:bottom w:val="single" w:color="auto" w:sz="4" w:space="0"/>
              <w:right w:val="single" w:color="000000" w:sz="4" w:space="0"/>
            </w:tcBorders>
            <w:tcW w:w="4068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</w:tr>
    </w:tbl>
    <w:p>
      <w:pPr>
        <w:tabs>
          <w:tab w:val="left" w:pos="2895" w:leader="none"/>
        </w:tabs>
        <w:rPr>
          <w:rFonts w:ascii="Liberation Serif" w:hAnsi="Liberation Serif" w:cs="Liberation Serif"/>
          <w:color w:val="000000" w:themeColor="text1"/>
          <w:sz w:val="21"/>
          <w:szCs w:val="21"/>
          <w:highlight w:val="white"/>
        </w:rPr>
      </w:pPr>
      <w:r>
        <w:rPr>
          <w:rFonts w:ascii="Liberation Serif" w:hAnsi="Liberation Serif" w:eastAsia="Liberation Serif" w:cs="Liberation Serif"/>
          <w:color w:val="000000" w:themeColor="text1"/>
          <w:sz w:val="21"/>
          <w:szCs w:val="21"/>
          <w:highlight w:val="white"/>
        </w:rPr>
      </w:r>
      <w:bookmarkStart w:id="0" w:name="_GoBack"/>
      <w:r>
        <w:rPr>
          <w:rFonts w:ascii="Liberation Serif" w:hAnsi="Liberation Serif" w:eastAsia="Liberation Serif" w:cs="Liberation Serif"/>
          <w:color w:val="000000" w:themeColor="text1"/>
          <w:sz w:val="21"/>
          <w:szCs w:val="21"/>
          <w:highlight w:val="white"/>
        </w:rPr>
      </w:r>
      <w:bookmarkEnd w:id="0"/>
      <w:r>
        <w:rPr>
          <w:rFonts w:ascii="Liberation Serif" w:hAnsi="Liberation Serif" w:cs="Liberation Serif"/>
          <w:color w:val="000000" w:themeColor="text1"/>
          <w:sz w:val="21"/>
          <w:szCs w:val="21"/>
          <w:highlight w:val="white"/>
        </w:rPr>
      </w:r>
      <w:r>
        <w:rPr>
          <w:rFonts w:ascii="Liberation Serif" w:hAnsi="Liberation Serif" w:cs="Liberation Serif"/>
          <w:color w:val="000000" w:themeColor="text1"/>
          <w:sz w:val="21"/>
          <w:szCs w:val="21"/>
          <w:highlight w:val="white"/>
        </w:rPr>
      </w:r>
    </w:p>
    <w:sectPr>
      <w:headerReference w:type="even" r:id="rId9"/>
      <w:footerReference w:type="default" r:id="rId10"/>
      <w:footnotePr/>
      <w:endnotePr/>
      <w:type w:val="nextPage"/>
      <w:pgSz w:w="11906" w:h="16838" w:orient="portrait"/>
      <w:pgMar w:top="284" w:right="851" w:bottom="709" w:left="1134" w:header="284" w:footer="284" w:gutter="0"/>
      <w:cols w:num="1" w:sep="0" w:space="709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7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3</w:t>
    </w:r>
    <w:r>
      <w:fldChar w:fldCharType="end"/>
    </w:r>
    <w:r/>
  </w:p>
  <w:p>
    <w:pPr>
      <w:pStyle w:val="99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1"/>
      <w:rPr>
        <w:rStyle w:val="993"/>
      </w:rPr>
      <w:framePr w:wrap="around" w:vAnchor="text" w:hAnchor="margin" w:xAlign="center" w:y="1"/>
    </w:pPr>
    <w:r>
      <w:rPr>
        <w:rStyle w:val="993"/>
      </w:rPr>
      <w:fldChar w:fldCharType="begin"/>
    </w:r>
    <w:r>
      <w:rPr>
        <w:rStyle w:val="993"/>
      </w:rPr>
      <w:instrText xml:space="preserve">PAGE  </w:instrText>
    </w:r>
    <w:r>
      <w:rPr>
        <w:rStyle w:val="993"/>
      </w:rPr>
      <w:fldChar w:fldCharType="separate"/>
    </w:r>
    <w:r>
      <w:rPr>
        <w:rStyle w:val="993"/>
      </w:rPr>
      <w:t xml:space="preserve">3</w:t>
    </w:r>
    <w:r>
      <w:rPr>
        <w:rStyle w:val="993"/>
      </w:rPr>
      <w:fldChar w:fldCharType="end"/>
    </w:r>
    <w:r>
      <w:rPr>
        <w:rStyle w:val="993"/>
      </w:rPr>
    </w:r>
    <w:r>
      <w:rPr>
        <w:rStyle w:val="993"/>
      </w:rPr>
    </w:r>
  </w:p>
  <w:p>
    <w:pPr>
      <w:pStyle w:val="99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none"/>
      <w:isLgl w:val="false"/>
      <w:suff w:val="nothing"/>
      <w:lvlText w:val=""/>
      <w:lvlJc w:val="left"/>
      <w:pPr/>
      <w:rPr>
        <w:rFonts w:cs="Times New Roman"/>
        <w:spacing w:val="0"/>
      </w:rPr>
    </w:lvl>
    <w:lvl w:ilvl="1">
      <w:start w:val="1"/>
      <w:numFmt w:val="none"/>
      <w:isLgl w:val="false"/>
      <w:suff w:val="nothing"/>
      <w:lvlText w:val=""/>
      <w:lvlJc w:val="left"/>
      <w:pPr>
        <w:ind w:left="1143"/>
      </w:pPr>
      <w:rPr>
        <w:rFonts w:cs="Times New Roman"/>
        <w:spacing w:val="0"/>
      </w:rPr>
    </w:lvl>
    <w:lvl w:ilvl="2">
      <w:start w:val="1"/>
      <w:numFmt w:val="none"/>
      <w:isLgl w:val="false"/>
      <w:suff w:val="nothing"/>
      <w:lvlText w:val=""/>
      <w:lvlJc w:val="left"/>
      <w:pPr>
        <w:ind w:left="1863"/>
      </w:pPr>
      <w:rPr>
        <w:rFonts w:cs="Times New Roman"/>
        <w:spacing w:val="0"/>
      </w:rPr>
    </w:lvl>
    <w:lvl w:ilvl="3">
      <w:start w:val="1"/>
      <w:numFmt w:val="none"/>
      <w:isLgl w:val="false"/>
      <w:suff w:val="nothing"/>
      <w:lvlText w:val=""/>
      <w:lvlJc w:val="left"/>
      <w:pPr>
        <w:ind w:left="2583"/>
      </w:pPr>
      <w:rPr>
        <w:rFonts w:cs="Times New Roman"/>
        <w:spacing w:val="0"/>
      </w:rPr>
    </w:lvl>
    <w:lvl w:ilvl="4">
      <w:start w:val="1"/>
      <w:numFmt w:val="none"/>
      <w:isLgl w:val="false"/>
      <w:suff w:val="nothing"/>
      <w:lvlText w:val=""/>
      <w:lvlJc w:val="left"/>
      <w:pPr>
        <w:ind w:left="3303"/>
      </w:pPr>
      <w:rPr>
        <w:rFonts w:cs="Times New Roman"/>
        <w:spacing w:val="0"/>
      </w:rPr>
    </w:lvl>
    <w:lvl w:ilvl="5">
      <w:start w:val="1"/>
      <w:numFmt w:val="none"/>
      <w:isLgl w:val="false"/>
      <w:suff w:val="nothing"/>
      <w:lvlText w:val=""/>
      <w:lvlJc w:val="left"/>
      <w:pPr>
        <w:ind w:left="4023"/>
      </w:pPr>
      <w:rPr>
        <w:rFonts w:cs="Times New Roman"/>
        <w:spacing w:val="0"/>
      </w:rPr>
    </w:lvl>
    <w:lvl w:ilvl="6">
      <w:start w:val="1"/>
      <w:numFmt w:val="none"/>
      <w:isLgl w:val="false"/>
      <w:suff w:val="nothing"/>
      <w:lvlText w:val=""/>
      <w:lvlJc w:val="left"/>
      <w:pPr>
        <w:ind w:left="4743"/>
      </w:pPr>
      <w:rPr>
        <w:rFonts w:cs="Times New Roman"/>
        <w:spacing w:val="0"/>
      </w:rPr>
    </w:lvl>
    <w:lvl w:ilvl="7">
      <w:start w:val="1"/>
      <w:numFmt w:val="none"/>
      <w:isLgl w:val="false"/>
      <w:suff w:val="nothing"/>
      <w:lvlText w:val=""/>
      <w:lvlJc w:val="left"/>
      <w:pPr>
        <w:ind w:left="5463"/>
      </w:pPr>
      <w:rPr>
        <w:rFonts w:cs="Times New Roman"/>
        <w:spacing w:val="0"/>
      </w:rPr>
    </w:lvl>
    <w:lvl w:ilvl="8">
      <w:start w:val="1"/>
      <w:numFmt w:val="none"/>
      <w:isLgl w:val="false"/>
      <w:suff w:val="nothing"/>
      <w:lvlText w:val=""/>
      <w:lvlJc w:val="left"/>
      <w:pPr>
        <w:ind w:left="6183"/>
      </w:pPr>
      <w:rPr>
        <w:rFonts w:cs="Times New Roman"/>
        <w:spacing w:val="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/>
      <w:rPr>
        <w:rFonts w:hint="default" w:ascii="Symbol" w:hAnsi="Symbol"/>
        <w:spacing w:val="0"/>
      </w:rPr>
    </w:lvl>
    <w:lvl w:ilvl="1">
      <w:start w:val="1"/>
      <w:numFmt w:val="none"/>
      <w:isLgl w:val="false"/>
      <w:suff w:val="nothing"/>
      <w:lvlText w:val=""/>
      <w:lvlJc w:val="left"/>
      <w:pPr>
        <w:ind w:left="1143"/>
      </w:pPr>
      <w:rPr>
        <w:rFonts w:cs="Times New Roman"/>
        <w:spacing w:val="0"/>
      </w:rPr>
    </w:lvl>
    <w:lvl w:ilvl="2">
      <w:start w:val="1"/>
      <w:numFmt w:val="none"/>
      <w:isLgl w:val="false"/>
      <w:suff w:val="nothing"/>
      <w:lvlText w:val=""/>
      <w:lvlJc w:val="left"/>
      <w:pPr>
        <w:ind w:left="1863"/>
      </w:pPr>
      <w:rPr>
        <w:rFonts w:cs="Times New Roman"/>
        <w:spacing w:val="0"/>
      </w:rPr>
    </w:lvl>
    <w:lvl w:ilvl="3">
      <w:start w:val="1"/>
      <w:numFmt w:val="none"/>
      <w:isLgl w:val="false"/>
      <w:suff w:val="nothing"/>
      <w:lvlText w:val=""/>
      <w:lvlJc w:val="left"/>
      <w:pPr>
        <w:ind w:left="2583"/>
      </w:pPr>
      <w:rPr>
        <w:rFonts w:cs="Times New Roman"/>
        <w:spacing w:val="0"/>
      </w:rPr>
    </w:lvl>
    <w:lvl w:ilvl="4">
      <w:start w:val="1"/>
      <w:numFmt w:val="none"/>
      <w:isLgl w:val="false"/>
      <w:suff w:val="nothing"/>
      <w:lvlText w:val=""/>
      <w:lvlJc w:val="left"/>
      <w:pPr>
        <w:ind w:left="3303"/>
      </w:pPr>
      <w:rPr>
        <w:rFonts w:cs="Times New Roman"/>
        <w:spacing w:val="0"/>
      </w:rPr>
    </w:lvl>
    <w:lvl w:ilvl="5">
      <w:start w:val="1"/>
      <w:numFmt w:val="none"/>
      <w:isLgl w:val="false"/>
      <w:suff w:val="nothing"/>
      <w:lvlText w:val=""/>
      <w:lvlJc w:val="left"/>
      <w:pPr>
        <w:ind w:left="4023"/>
      </w:pPr>
      <w:rPr>
        <w:rFonts w:cs="Times New Roman"/>
        <w:spacing w:val="0"/>
      </w:rPr>
    </w:lvl>
    <w:lvl w:ilvl="6">
      <w:start w:val="1"/>
      <w:numFmt w:val="none"/>
      <w:isLgl w:val="false"/>
      <w:suff w:val="nothing"/>
      <w:lvlText w:val=""/>
      <w:lvlJc w:val="left"/>
      <w:pPr>
        <w:ind w:left="4743"/>
      </w:pPr>
      <w:rPr>
        <w:rFonts w:cs="Times New Roman"/>
        <w:spacing w:val="0"/>
      </w:rPr>
    </w:lvl>
    <w:lvl w:ilvl="7">
      <w:start w:val="1"/>
      <w:numFmt w:val="none"/>
      <w:isLgl w:val="false"/>
      <w:suff w:val="nothing"/>
      <w:lvlText w:val=""/>
      <w:lvlJc w:val="left"/>
      <w:pPr>
        <w:ind w:left="5463"/>
      </w:pPr>
      <w:rPr>
        <w:rFonts w:cs="Times New Roman"/>
        <w:spacing w:val="0"/>
      </w:rPr>
    </w:lvl>
    <w:lvl w:ilvl="8">
      <w:start w:val="1"/>
      <w:numFmt w:val="none"/>
      <w:isLgl w:val="false"/>
      <w:suff w:val="nothing"/>
      <w:lvlText w:val=""/>
      <w:lvlJc w:val="left"/>
      <w:pPr>
        <w:ind w:left="6183"/>
      </w:pPr>
      <w:rPr>
        <w:rFonts w:cs="Times New Roman"/>
        <w:spacing w:val="0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0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64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4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45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2"/>
  </w:num>
  <w:num w:numId="2">
    <w:abstractNumId w:val="22"/>
  </w:num>
  <w:num w:numId="3">
    <w:abstractNumId w:val="27"/>
  </w:num>
  <w:num w:numId="4">
    <w:abstractNumId w:val="37"/>
  </w:num>
  <w:num w:numId="5">
    <w:abstractNumId w:val="13"/>
  </w:num>
  <w:num w:numId="6">
    <w:abstractNumId w:val="11"/>
  </w:num>
  <w:num w:numId="7">
    <w:abstractNumId w:val="24"/>
  </w:num>
  <w:num w:numId="8">
    <w:abstractNumId w:val="9"/>
  </w:num>
  <w:num w:numId="9">
    <w:abstractNumId w:val="19"/>
  </w:num>
  <w:num w:numId="10">
    <w:abstractNumId w:val="3"/>
  </w:num>
  <w:num w:numId="11">
    <w:abstractNumId w:val="29"/>
  </w:num>
  <w:num w:numId="12">
    <w:abstractNumId w:val="12"/>
  </w:num>
  <w:num w:numId="13">
    <w:abstractNumId w:val="4"/>
  </w:num>
  <w:num w:numId="14">
    <w:abstractNumId w:val="25"/>
  </w:num>
  <w:num w:numId="15">
    <w:abstractNumId w:val="31"/>
  </w:num>
  <w:num w:numId="16">
    <w:abstractNumId w:val="34"/>
  </w:num>
  <w:num w:numId="17">
    <w:abstractNumId w:val="21"/>
  </w:num>
  <w:num w:numId="18">
    <w:abstractNumId w:val="28"/>
  </w:num>
  <w:num w:numId="19">
    <w:abstractNumId w:val="15"/>
  </w:num>
  <w:num w:numId="20">
    <w:abstractNumId w:val="18"/>
  </w:num>
  <w:num w:numId="21">
    <w:abstractNumId w:val="36"/>
  </w:num>
  <w:num w:numId="22">
    <w:abstractNumId w:val="16"/>
  </w:num>
  <w:num w:numId="23">
    <w:abstractNumId w:val="5"/>
  </w:num>
  <w:num w:numId="24">
    <w:abstractNumId w:val="14"/>
  </w:num>
  <w:num w:numId="25">
    <w:abstractNumId w:val="33"/>
  </w:num>
  <w:num w:numId="26">
    <w:abstractNumId w:val="35"/>
  </w:num>
  <w:num w:numId="27">
    <w:abstractNumId w:val="0"/>
  </w:num>
  <w:num w:numId="28">
    <w:abstractNumId w:val="7"/>
  </w:num>
  <w:num w:numId="29">
    <w:abstractNumId w:val="10"/>
  </w:num>
  <w:num w:numId="30">
    <w:abstractNumId w:val="6"/>
  </w:num>
  <w:num w:numId="31">
    <w:abstractNumId w:val="17"/>
  </w:num>
  <w:num w:numId="32">
    <w:abstractNumId w:val="23"/>
  </w:num>
  <w:num w:numId="33">
    <w:abstractNumId w:val="20"/>
  </w:num>
  <w:num w:numId="34">
    <w:abstractNumId w:val="1"/>
  </w:num>
  <w:num w:numId="35">
    <w:abstractNumId w:val="26"/>
  </w:num>
  <w:num w:numId="36">
    <w:abstractNumId w:val="32"/>
  </w:num>
  <w:num w:numId="37">
    <w:abstractNumId w:val="30"/>
  </w:num>
  <w:num w:numId="38">
    <w:abstractNumId w:val="8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0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01">
    <w:name w:val="Heading 1"/>
    <w:basedOn w:val="800"/>
    <w:next w:val="800"/>
    <w:link w:val="82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02">
    <w:name w:val="Heading 2"/>
    <w:basedOn w:val="800"/>
    <w:next w:val="800"/>
    <w:link w:val="82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03">
    <w:name w:val="Heading 3"/>
    <w:basedOn w:val="800"/>
    <w:next w:val="800"/>
    <w:link w:val="83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04">
    <w:name w:val="Heading 4"/>
    <w:basedOn w:val="800"/>
    <w:next w:val="800"/>
    <w:link w:val="83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05">
    <w:name w:val="Heading 5"/>
    <w:basedOn w:val="800"/>
    <w:next w:val="800"/>
    <w:link w:val="83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06">
    <w:name w:val="Heading 6"/>
    <w:basedOn w:val="800"/>
    <w:next w:val="800"/>
    <w:link w:val="83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07">
    <w:name w:val="Heading 7"/>
    <w:basedOn w:val="800"/>
    <w:next w:val="800"/>
    <w:link w:val="83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8">
    <w:name w:val="Heading 8"/>
    <w:basedOn w:val="800"/>
    <w:next w:val="800"/>
    <w:link w:val="83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9">
    <w:name w:val="Heading 9"/>
    <w:basedOn w:val="800"/>
    <w:next w:val="800"/>
    <w:link w:val="83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0" w:default="1">
    <w:name w:val="Default Paragraph Font"/>
    <w:uiPriority w:val="1"/>
    <w:semiHidden/>
    <w:unhideWhenUsed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character" w:styleId="813" w:customStyle="1">
    <w:name w:val="Heading 1 Char"/>
    <w:basedOn w:val="810"/>
    <w:uiPriority w:val="9"/>
    <w:rPr>
      <w:rFonts w:ascii="Arial" w:hAnsi="Arial" w:eastAsia="Arial" w:cs="Arial"/>
      <w:sz w:val="40"/>
      <w:szCs w:val="40"/>
    </w:rPr>
  </w:style>
  <w:style w:type="character" w:styleId="814" w:customStyle="1">
    <w:name w:val="Heading 2 Char"/>
    <w:basedOn w:val="810"/>
    <w:uiPriority w:val="9"/>
    <w:rPr>
      <w:rFonts w:ascii="Arial" w:hAnsi="Arial" w:eastAsia="Arial" w:cs="Arial"/>
      <w:sz w:val="34"/>
    </w:rPr>
  </w:style>
  <w:style w:type="character" w:styleId="815" w:customStyle="1">
    <w:name w:val="Heading 3 Char"/>
    <w:basedOn w:val="810"/>
    <w:uiPriority w:val="9"/>
    <w:rPr>
      <w:rFonts w:ascii="Arial" w:hAnsi="Arial" w:eastAsia="Arial" w:cs="Arial"/>
      <w:sz w:val="30"/>
      <w:szCs w:val="30"/>
    </w:rPr>
  </w:style>
  <w:style w:type="character" w:styleId="816" w:customStyle="1">
    <w:name w:val="Heading 4 Char"/>
    <w:basedOn w:val="810"/>
    <w:uiPriority w:val="9"/>
    <w:rPr>
      <w:rFonts w:ascii="Arial" w:hAnsi="Arial" w:eastAsia="Arial" w:cs="Arial"/>
      <w:b/>
      <w:bCs/>
      <w:sz w:val="26"/>
      <w:szCs w:val="26"/>
    </w:rPr>
  </w:style>
  <w:style w:type="character" w:styleId="817" w:customStyle="1">
    <w:name w:val="Heading 5 Char"/>
    <w:basedOn w:val="810"/>
    <w:uiPriority w:val="9"/>
    <w:rPr>
      <w:rFonts w:ascii="Arial" w:hAnsi="Arial" w:eastAsia="Arial" w:cs="Arial"/>
      <w:b/>
      <w:bCs/>
      <w:sz w:val="24"/>
      <w:szCs w:val="24"/>
    </w:rPr>
  </w:style>
  <w:style w:type="character" w:styleId="818" w:customStyle="1">
    <w:name w:val="Heading 6 Char"/>
    <w:basedOn w:val="810"/>
    <w:uiPriority w:val="9"/>
    <w:rPr>
      <w:rFonts w:ascii="Arial" w:hAnsi="Arial" w:eastAsia="Arial" w:cs="Arial"/>
      <w:b/>
      <w:bCs/>
      <w:sz w:val="22"/>
      <w:szCs w:val="22"/>
    </w:rPr>
  </w:style>
  <w:style w:type="character" w:styleId="819" w:customStyle="1">
    <w:name w:val="Heading 7 Char"/>
    <w:basedOn w:val="8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20" w:customStyle="1">
    <w:name w:val="Heading 8 Char"/>
    <w:basedOn w:val="810"/>
    <w:uiPriority w:val="9"/>
    <w:rPr>
      <w:rFonts w:ascii="Arial" w:hAnsi="Arial" w:eastAsia="Arial" w:cs="Arial"/>
      <w:i/>
      <w:iCs/>
      <w:sz w:val="22"/>
      <w:szCs w:val="22"/>
    </w:rPr>
  </w:style>
  <w:style w:type="character" w:styleId="821" w:customStyle="1">
    <w:name w:val="Heading 9 Char"/>
    <w:basedOn w:val="810"/>
    <w:uiPriority w:val="9"/>
    <w:rPr>
      <w:rFonts w:ascii="Arial" w:hAnsi="Arial" w:eastAsia="Arial" w:cs="Arial"/>
      <w:i/>
      <w:iCs/>
      <w:sz w:val="21"/>
      <w:szCs w:val="21"/>
    </w:rPr>
  </w:style>
  <w:style w:type="character" w:styleId="822" w:customStyle="1">
    <w:name w:val="Title Char"/>
    <w:basedOn w:val="810"/>
    <w:uiPriority w:val="10"/>
    <w:rPr>
      <w:sz w:val="48"/>
      <w:szCs w:val="48"/>
    </w:rPr>
  </w:style>
  <w:style w:type="character" w:styleId="823" w:customStyle="1">
    <w:name w:val="Subtitle Char"/>
    <w:basedOn w:val="810"/>
    <w:uiPriority w:val="11"/>
    <w:rPr>
      <w:sz w:val="24"/>
      <w:szCs w:val="24"/>
    </w:rPr>
  </w:style>
  <w:style w:type="character" w:styleId="824" w:customStyle="1">
    <w:name w:val="Quote Char"/>
    <w:uiPriority w:val="29"/>
    <w:rPr>
      <w:i/>
    </w:rPr>
  </w:style>
  <w:style w:type="character" w:styleId="825" w:customStyle="1">
    <w:name w:val="Intense Quote Char"/>
    <w:uiPriority w:val="30"/>
    <w:rPr>
      <w:i/>
    </w:rPr>
  </w:style>
  <w:style w:type="character" w:styleId="826" w:customStyle="1">
    <w:name w:val="Footnote Text Char"/>
    <w:uiPriority w:val="99"/>
    <w:rPr>
      <w:sz w:val="18"/>
    </w:rPr>
  </w:style>
  <w:style w:type="character" w:styleId="827" w:customStyle="1">
    <w:name w:val="Endnote Text Char"/>
    <w:uiPriority w:val="99"/>
    <w:rPr>
      <w:sz w:val="20"/>
    </w:rPr>
  </w:style>
  <w:style w:type="character" w:styleId="828" w:customStyle="1">
    <w:name w:val="Заголовок 1 Знак"/>
    <w:basedOn w:val="810"/>
    <w:link w:val="801"/>
    <w:uiPriority w:val="9"/>
    <w:rPr>
      <w:rFonts w:ascii="Arial" w:hAnsi="Arial" w:eastAsia="Arial" w:cs="Arial"/>
      <w:sz w:val="40"/>
      <w:szCs w:val="40"/>
    </w:rPr>
  </w:style>
  <w:style w:type="character" w:styleId="829" w:customStyle="1">
    <w:name w:val="Заголовок 2 Знак"/>
    <w:basedOn w:val="810"/>
    <w:link w:val="802"/>
    <w:uiPriority w:val="9"/>
    <w:rPr>
      <w:rFonts w:ascii="Arial" w:hAnsi="Arial" w:eastAsia="Arial" w:cs="Arial"/>
      <w:sz w:val="34"/>
    </w:rPr>
  </w:style>
  <w:style w:type="character" w:styleId="830" w:customStyle="1">
    <w:name w:val="Заголовок 3 Знак"/>
    <w:basedOn w:val="810"/>
    <w:link w:val="803"/>
    <w:uiPriority w:val="9"/>
    <w:rPr>
      <w:rFonts w:ascii="Arial" w:hAnsi="Arial" w:eastAsia="Arial" w:cs="Arial"/>
      <w:sz w:val="30"/>
      <w:szCs w:val="30"/>
    </w:rPr>
  </w:style>
  <w:style w:type="character" w:styleId="831" w:customStyle="1">
    <w:name w:val="Заголовок 4 Знак"/>
    <w:basedOn w:val="810"/>
    <w:link w:val="804"/>
    <w:uiPriority w:val="9"/>
    <w:rPr>
      <w:rFonts w:ascii="Arial" w:hAnsi="Arial" w:eastAsia="Arial" w:cs="Arial"/>
      <w:b/>
      <w:bCs/>
      <w:sz w:val="26"/>
      <w:szCs w:val="26"/>
    </w:rPr>
  </w:style>
  <w:style w:type="character" w:styleId="832" w:customStyle="1">
    <w:name w:val="Заголовок 5 Знак"/>
    <w:basedOn w:val="810"/>
    <w:link w:val="805"/>
    <w:uiPriority w:val="9"/>
    <w:rPr>
      <w:rFonts w:ascii="Arial" w:hAnsi="Arial" w:eastAsia="Arial" w:cs="Arial"/>
      <w:b/>
      <w:bCs/>
      <w:sz w:val="24"/>
      <w:szCs w:val="24"/>
    </w:rPr>
  </w:style>
  <w:style w:type="character" w:styleId="833" w:customStyle="1">
    <w:name w:val="Заголовок 6 Знак"/>
    <w:basedOn w:val="810"/>
    <w:link w:val="806"/>
    <w:uiPriority w:val="9"/>
    <w:rPr>
      <w:rFonts w:ascii="Arial" w:hAnsi="Arial" w:eastAsia="Arial" w:cs="Arial"/>
      <w:b/>
      <w:bCs/>
      <w:sz w:val="22"/>
      <w:szCs w:val="22"/>
    </w:rPr>
  </w:style>
  <w:style w:type="character" w:styleId="834" w:customStyle="1">
    <w:name w:val="Заголовок 7 Знак"/>
    <w:basedOn w:val="810"/>
    <w:link w:val="8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35" w:customStyle="1">
    <w:name w:val="Заголовок 8 Знак"/>
    <w:basedOn w:val="810"/>
    <w:link w:val="808"/>
    <w:uiPriority w:val="9"/>
    <w:rPr>
      <w:rFonts w:ascii="Arial" w:hAnsi="Arial" w:eastAsia="Arial" w:cs="Arial"/>
      <w:i/>
      <w:iCs/>
      <w:sz w:val="22"/>
      <w:szCs w:val="22"/>
    </w:rPr>
  </w:style>
  <w:style w:type="character" w:styleId="836" w:customStyle="1">
    <w:name w:val="Заголовок 9 Знак"/>
    <w:basedOn w:val="810"/>
    <w:link w:val="809"/>
    <w:uiPriority w:val="9"/>
    <w:rPr>
      <w:rFonts w:ascii="Arial" w:hAnsi="Arial" w:eastAsia="Arial" w:cs="Arial"/>
      <w:i/>
      <w:iCs/>
      <w:sz w:val="21"/>
      <w:szCs w:val="21"/>
    </w:rPr>
  </w:style>
  <w:style w:type="paragraph" w:styleId="837">
    <w:name w:val="Title"/>
    <w:basedOn w:val="800"/>
    <w:next w:val="800"/>
    <w:link w:val="83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38" w:customStyle="1">
    <w:name w:val="Название Знак"/>
    <w:basedOn w:val="810"/>
    <w:link w:val="837"/>
    <w:uiPriority w:val="10"/>
    <w:rPr>
      <w:sz w:val="48"/>
      <w:szCs w:val="48"/>
    </w:rPr>
  </w:style>
  <w:style w:type="paragraph" w:styleId="839">
    <w:name w:val="Subtitle"/>
    <w:basedOn w:val="800"/>
    <w:next w:val="800"/>
    <w:link w:val="840"/>
    <w:uiPriority w:val="11"/>
    <w:qFormat/>
    <w:pPr>
      <w:spacing w:before="200" w:after="200"/>
    </w:pPr>
    <w:rPr>
      <w:sz w:val="24"/>
      <w:szCs w:val="24"/>
    </w:rPr>
  </w:style>
  <w:style w:type="character" w:styleId="840" w:customStyle="1">
    <w:name w:val="Подзаголовок Знак"/>
    <w:basedOn w:val="810"/>
    <w:link w:val="839"/>
    <w:uiPriority w:val="11"/>
    <w:rPr>
      <w:sz w:val="24"/>
      <w:szCs w:val="24"/>
    </w:rPr>
  </w:style>
  <w:style w:type="paragraph" w:styleId="841">
    <w:name w:val="Quote"/>
    <w:basedOn w:val="800"/>
    <w:next w:val="800"/>
    <w:link w:val="842"/>
    <w:uiPriority w:val="29"/>
    <w:qFormat/>
    <w:pPr>
      <w:ind w:left="720" w:right="720"/>
    </w:pPr>
    <w:rPr>
      <w:i/>
    </w:rPr>
  </w:style>
  <w:style w:type="character" w:styleId="842" w:customStyle="1">
    <w:name w:val="Цитата 2 Знак"/>
    <w:link w:val="841"/>
    <w:uiPriority w:val="29"/>
    <w:rPr>
      <w:i/>
    </w:rPr>
  </w:style>
  <w:style w:type="paragraph" w:styleId="843">
    <w:name w:val="Intense Quote"/>
    <w:basedOn w:val="800"/>
    <w:next w:val="800"/>
    <w:link w:val="84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4" w:customStyle="1">
    <w:name w:val="Выделенная цитата Знак"/>
    <w:link w:val="843"/>
    <w:uiPriority w:val="30"/>
    <w:rPr>
      <w:i/>
    </w:rPr>
  </w:style>
  <w:style w:type="character" w:styleId="845" w:customStyle="1">
    <w:name w:val="Header Char"/>
    <w:basedOn w:val="810"/>
    <w:uiPriority w:val="99"/>
  </w:style>
  <w:style w:type="character" w:styleId="846" w:customStyle="1">
    <w:name w:val="Footer Char"/>
    <w:basedOn w:val="810"/>
    <w:uiPriority w:val="99"/>
  </w:style>
  <w:style w:type="paragraph" w:styleId="847">
    <w:name w:val="Caption"/>
    <w:basedOn w:val="800"/>
    <w:next w:val="800"/>
    <w:link w:val="84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848" w:customStyle="1">
    <w:name w:val="Caption Char"/>
    <w:uiPriority w:val="35"/>
  </w:style>
  <w:style w:type="table" w:styleId="849" w:customStyle="1">
    <w:name w:val="Table Grid Light"/>
    <w:basedOn w:val="81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50">
    <w:name w:val="Plain Table 1"/>
    <w:basedOn w:val="81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1">
    <w:name w:val="Plain Table 2"/>
    <w:basedOn w:val="81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2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3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5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7" w:customStyle="1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78" w:customStyle="1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79" w:customStyle="1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80" w:customStyle="1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81" w:customStyle="1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82" w:customStyle="1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83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84" w:customStyle="1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85" w:customStyle="1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86" w:customStyle="1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87" w:customStyle="1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88" w:customStyle="1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89" w:customStyle="1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90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91" w:customStyle="1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92" w:customStyle="1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93" w:customStyle="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94" w:customStyle="1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95" w:customStyle="1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96" w:customStyle="1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97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12" w:customStyle="1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913" w:customStyle="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14" w:customStyle="1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15" w:customStyle="1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16" w:customStyle="1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917" w:customStyle="1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18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 w:customStyle="1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 w:customStyle="1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 w:customStyle="1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3" w:customStyle="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4" w:customStyle="1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5" w:customStyle="1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6" w:customStyle="1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7" w:customStyle="1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8" w:customStyle="1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9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40" w:customStyle="1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41" w:customStyle="1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42" w:customStyle="1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43" w:customStyle="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44" w:customStyle="1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945" w:customStyle="1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46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Lined - Accent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4" w:customStyle="1">
    <w:name w:val="Lined - Accent 1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55" w:customStyle="1">
    <w:name w:val="Lined - Accent 2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56" w:customStyle="1">
    <w:name w:val="Lined - Accent 3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57" w:customStyle="1">
    <w:name w:val="Lined - Accent 4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58" w:customStyle="1">
    <w:name w:val="Lined - Accent 5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59" w:customStyle="1">
    <w:name w:val="Lined - Accent 6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60" w:customStyle="1">
    <w:name w:val="Bordered &amp; Lined - Accent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1" w:customStyle="1">
    <w:name w:val="Bordered &amp; Lined - Accent 1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62" w:customStyle="1">
    <w:name w:val="Bordered &amp; Lined - Accent 2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63" w:customStyle="1">
    <w:name w:val="Bordered &amp; Lined - Accent 3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64" w:customStyle="1">
    <w:name w:val="Bordered &amp; Lined - Accent 4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65" w:customStyle="1">
    <w:name w:val="Bordered &amp; Lined - Accent 5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66" w:customStyle="1">
    <w:name w:val="Bordered &amp; Lined - Accent 6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67" w:customStyle="1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68" w:customStyle="1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69" w:customStyle="1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70" w:customStyle="1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71" w:customStyle="1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72" w:customStyle="1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73" w:customStyle="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74">
    <w:name w:val="footnote text"/>
    <w:basedOn w:val="800"/>
    <w:link w:val="975"/>
    <w:uiPriority w:val="99"/>
    <w:semiHidden/>
    <w:unhideWhenUsed/>
    <w:pPr>
      <w:spacing w:after="40"/>
    </w:pPr>
    <w:rPr>
      <w:sz w:val="18"/>
    </w:rPr>
  </w:style>
  <w:style w:type="character" w:styleId="975" w:customStyle="1">
    <w:name w:val="Текст сноски Знак"/>
    <w:link w:val="974"/>
    <w:uiPriority w:val="99"/>
    <w:rPr>
      <w:sz w:val="18"/>
    </w:rPr>
  </w:style>
  <w:style w:type="character" w:styleId="976">
    <w:name w:val="footnote reference"/>
    <w:basedOn w:val="810"/>
    <w:uiPriority w:val="99"/>
    <w:unhideWhenUsed/>
    <w:rPr>
      <w:vertAlign w:val="superscript"/>
    </w:rPr>
  </w:style>
  <w:style w:type="paragraph" w:styleId="977">
    <w:name w:val="endnote text"/>
    <w:basedOn w:val="800"/>
    <w:link w:val="978"/>
    <w:uiPriority w:val="99"/>
    <w:semiHidden/>
    <w:unhideWhenUsed/>
  </w:style>
  <w:style w:type="character" w:styleId="978" w:customStyle="1">
    <w:name w:val="Текст концевой сноски Знак"/>
    <w:link w:val="977"/>
    <w:uiPriority w:val="99"/>
    <w:rPr>
      <w:sz w:val="20"/>
    </w:rPr>
  </w:style>
  <w:style w:type="character" w:styleId="979">
    <w:name w:val="endnote reference"/>
    <w:basedOn w:val="810"/>
    <w:uiPriority w:val="99"/>
    <w:semiHidden/>
    <w:unhideWhenUsed/>
    <w:rPr>
      <w:vertAlign w:val="superscript"/>
    </w:rPr>
  </w:style>
  <w:style w:type="paragraph" w:styleId="980">
    <w:name w:val="toc 1"/>
    <w:basedOn w:val="800"/>
    <w:next w:val="800"/>
    <w:uiPriority w:val="39"/>
    <w:unhideWhenUsed/>
    <w:pPr>
      <w:spacing w:after="57"/>
    </w:pPr>
  </w:style>
  <w:style w:type="paragraph" w:styleId="981">
    <w:name w:val="toc 2"/>
    <w:basedOn w:val="800"/>
    <w:next w:val="800"/>
    <w:uiPriority w:val="39"/>
    <w:unhideWhenUsed/>
    <w:pPr>
      <w:ind w:left="283"/>
      <w:spacing w:after="57"/>
    </w:pPr>
  </w:style>
  <w:style w:type="paragraph" w:styleId="982">
    <w:name w:val="toc 3"/>
    <w:basedOn w:val="800"/>
    <w:next w:val="800"/>
    <w:uiPriority w:val="39"/>
    <w:unhideWhenUsed/>
    <w:pPr>
      <w:ind w:left="567"/>
      <w:spacing w:after="57"/>
    </w:pPr>
  </w:style>
  <w:style w:type="paragraph" w:styleId="983">
    <w:name w:val="toc 4"/>
    <w:basedOn w:val="800"/>
    <w:next w:val="800"/>
    <w:uiPriority w:val="39"/>
    <w:unhideWhenUsed/>
    <w:pPr>
      <w:ind w:left="850"/>
      <w:spacing w:after="57"/>
    </w:pPr>
  </w:style>
  <w:style w:type="paragraph" w:styleId="984">
    <w:name w:val="toc 5"/>
    <w:basedOn w:val="800"/>
    <w:next w:val="800"/>
    <w:uiPriority w:val="39"/>
    <w:unhideWhenUsed/>
    <w:pPr>
      <w:ind w:left="1134"/>
      <w:spacing w:after="57"/>
    </w:pPr>
  </w:style>
  <w:style w:type="paragraph" w:styleId="985">
    <w:name w:val="toc 6"/>
    <w:basedOn w:val="800"/>
    <w:next w:val="800"/>
    <w:uiPriority w:val="39"/>
    <w:unhideWhenUsed/>
    <w:pPr>
      <w:ind w:left="1417"/>
      <w:spacing w:after="57"/>
    </w:pPr>
  </w:style>
  <w:style w:type="paragraph" w:styleId="986">
    <w:name w:val="toc 7"/>
    <w:basedOn w:val="800"/>
    <w:next w:val="800"/>
    <w:uiPriority w:val="39"/>
    <w:unhideWhenUsed/>
    <w:pPr>
      <w:ind w:left="1701"/>
      <w:spacing w:after="57"/>
    </w:pPr>
  </w:style>
  <w:style w:type="paragraph" w:styleId="987">
    <w:name w:val="toc 8"/>
    <w:basedOn w:val="800"/>
    <w:next w:val="800"/>
    <w:uiPriority w:val="39"/>
    <w:unhideWhenUsed/>
    <w:pPr>
      <w:ind w:left="1984"/>
      <w:spacing w:after="57"/>
    </w:pPr>
  </w:style>
  <w:style w:type="paragraph" w:styleId="988">
    <w:name w:val="toc 9"/>
    <w:basedOn w:val="800"/>
    <w:next w:val="800"/>
    <w:uiPriority w:val="39"/>
    <w:unhideWhenUsed/>
    <w:pPr>
      <w:ind w:left="2268"/>
      <w:spacing w:after="57"/>
    </w:pPr>
  </w:style>
  <w:style w:type="paragraph" w:styleId="989">
    <w:name w:val="TOC Heading"/>
    <w:uiPriority w:val="39"/>
    <w:unhideWhenUsed/>
  </w:style>
  <w:style w:type="paragraph" w:styleId="990">
    <w:name w:val="table of figures"/>
    <w:basedOn w:val="800"/>
    <w:next w:val="800"/>
    <w:uiPriority w:val="99"/>
    <w:unhideWhenUsed/>
  </w:style>
  <w:style w:type="paragraph" w:styleId="991">
    <w:name w:val="Header"/>
    <w:basedOn w:val="800"/>
    <w:link w:val="992"/>
    <w:uiPriority w:val="99"/>
    <w:pPr>
      <w:tabs>
        <w:tab w:val="center" w:pos="4153" w:leader="none"/>
        <w:tab w:val="right" w:pos="8306" w:leader="none"/>
      </w:tabs>
    </w:pPr>
  </w:style>
  <w:style w:type="character" w:styleId="992" w:customStyle="1">
    <w:name w:val="Верхний колонтитул Знак"/>
    <w:basedOn w:val="810"/>
    <w:link w:val="991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93">
    <w:name w:val="page number"/>
    <w:basedOn w:val="810"/>
  </w:style>
  <w:style w:type="character" w:styleId="994">
    <w:name w:val="Hyperlink"/>
    <w:uiPriority w:val="99"/>
    <w:rPr>
      <w:color w:val="0000ff"/>
      <w:u w:val="single"/>
    </w:rPr>
  </w:style>
  <w:style w:type="paragraph" w:styleId="995">
    <w:name w:val="Body Text"/>
    <w:basedOn w:val="800"/>
    <w:link w:val="996"/>
    <w:pPr>
      <w:spacing w:after="120"/>
    </w:pPr>
  </w:style>
  <w:style w:type="character" w:styleId="996" w:customStyle="1">
    <w:name w:val="Основной текст Знак"/>
    <w:basedOn w:val="810"/>
    <w:link w:val="995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97">
    <w:name w:val="Footer"/>
    <w:basedOn w:val="800"/>
    <w:link w:val="998"/>
    <w:uiPriority w:val="99"/>
    <w:pPr>
      <w:tabs>
        <w:tab w:val="center" w:pos="4677" w:leader="none"/>
        <w:tab w:val="right" w:pos="9355" w:leader="none"/>
      </w:tabs>
    </w:pPr>
  </w:style>
  <w:style w:type="character" w:styleId="998" w:customStyle="1">
    <w:name w:val="Нижний колонтитул Знак"/>
    <w:basedOn w:val="810"/>
    <w:link w:val="997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99">
    <w:name w:val="Balloon Text"/>
    <w:basedOn w:val="800"/>
    <w:link w:val="1000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00" w:customStyle="1">
    <w:name w:val="Текст выноски Знак"/>
    <w:basedOn w:val="810"/>
    <w:link w:val="999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1001">
    <w:name w:val="List Paragraph"/>
    <w:basedOn w:val="800"/>
    <w:link w:val="1002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1002" w:customStyle="1">
    <w:name w:val="Абзац списка Знак"/>
    <w:link w:val="1001"/>
    <w:uiPriority w:val="34"/>
    <w:rPr>
      <w:rFonts w:ascii="Calibri" w:hAnsi="Calibri" w:eastAsia="Calibri" w:cs="Times New Roman"/>
    </w:rPr>
  </w:style>
  <w:style w:type="paragraph" w:styleId="1003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04" w:customStyle="1">
    <w:name w:val="Style 12 pt Bold Italic"/>
    <w:uiPriority w:val="99"/>
    <w:rPr>
      <w:rFonts w:ascii="Times New Roman" w:hAnsi="Times New Roman"/>
      <w:b/>
      <w:bCs/>
      <w:i/>
      <w:iCs/>
      <w:sz w:val="22"/>
    </w:rPr>
  </w:style>
  <w:style w:type="table" w:styleId="1005">
    <w:name w:val="Table Grid"/>
    <w:basedOn w:val="81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06" w:customStyle="1">
    <w:name w:val="Абзац 3"/>
    <w:basedOn w:val="800"/>
    <w:hidden/>
    <w:pPr>
      <w:jc w:val="both"/>
    </w:pPr>
    <w:rPr>
      <w:rFonts w:eastAsiaTheme="minorEastAsia" w:cstheme="minorBidi"/>
      <w:sz w:val="24"/>
      <w:szCs w:val="22"/>
    </w:rPr>
  </w:style>
  <w:style w:type="character" w:styleId="1007">
    <w:name w:val="Subtle Emphasis"/>
    <w:basedOn w:val="810"/>
    <w:uiPriority w:val="19"/>
    <w:rPr>
      <w:i/>
      <w:iCs/>
      <w:color w:val="404040" w:themeColor="text1" w:themeTint="BF"/>
    </w:rPr>
  </w:style>
  <w:style w:type="character" w:styleId="1008">
    <w:name w:val="Strong"/>
    <w:basedOn w:val="810"/>
    <w:uiPriority w:val="22"/>
    <w:rPr>
      <w:b/>
      <w:bCs/>
    </w:rPr>
  </w:style>
  <w:style w:type="character" w:styleId="1009" w:customStyle="1">
    <w:name w:val="Subst"/>
    <w:uiPriority w:val="99"/>
    <w:rPr>
      <w:b/>
      <w:i/>
    </w:rPr>
  </w:style>
  <w:style w:type="paragraph" w:styleId="1010" w:customStyle="1">
    <w:name w:val="Абзац 4"/>
    <w:basedOn w:val="800"/>
    <w:pPr>
      <w:jc w:val="both"/>
    </w:pPr>
    <w:rPr>
      <w:rFonts w:eastAsiaTheme="minorEastAsia" w:cstheme="minorBidi"/>
      <w:sz w:val="24"/>
      <w:szCs w:val="22"/>
    </w:rPr>
  </w:style>
  <w:style w:type="paragraph" w:styleId="1011" w:customStyle="1">
    <w:name w:val="Абзац 2"/>
    <w:basedOn w:val="800"/>
    <w:pPr>
      <w:jc w:val="both"/>
    </w:pPr>
    <w:rPr>
      <w:rFonts w:eastAsiaTheme="minorEastAsia" w:cstheme="minorBidi"/>
      <w:b/>
      <w:sz w:val="24"/>
      <w:szCs w:val="22"/>
    </w:rPr>
  </w:style>
  <w:style w:type="paragraph" w:styleId="1012" w:customStyle="1">
    <w:name w:val="docdata"/>
    <w:basedOn w:val="800"/>
    <w:pPr>
      <w:spacing w:before="100" w:beforeAutospacing="1" w:after="100" w:afterAutospacing="1"/>
    </w:pPr>
    <w:rPr>
      <w:sz w:val="24"/>
      <w:szCs w:val="24"/>
    </w:rPr>
  </w:style>
  <w:style w:type="paragraph" w:styleId="1013">
    <w:name w:val="Normal (Web)"/>
    <w:basedOn w:val="800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1014">
    <w:name w:val="Body Text Indent 2"/>
    <w:basedOn w:val="800"/>
    <w:link w:val="1015"/>
    <w:uiPriority w:val="99"/>
    <w:unhideWhenUsed/>
    <w:pPr>
      <w:ind w:left="283"/>
      <w:spacing w:after="120" w:line="480" w:lineRule="auto"/>
    </w:pPr>
    <w:rPr>
      <w:rFonts w:ascii="Calibri" w:hAnsi="Calibri" w:eastAsia="Calibri"/>
      <w:sz w:val="22"/>
      <w:szCs w:val="22"/>
      <w:lang w:eastAsia="en-US"/>
    </w:rPr>
  </w:style>
  <w:style w:type="character" w:styleId="1015" w:customStyle="1">
    <w:name w:val="Основной текст с отступом 2 Знак"/>
    <w:basedOn w:val="810"/>
    <w:link w:val="1014"/>
    <w:uiPriority w:val="99"/>
    <w:rPr>
      <w:rFonts w:ascii="Calibri" w:hAnsi="Calibri" w:eastAsia="Calibri" w:cs="Times New Roman"/>
    </w:rPr>
  </w:style>
  <w:style w:type="table" w:styleId="1016" w:customStyle="1">
    <w:name w:val="Таблица 1"/>
    <w:hidden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60" w:afterAutospacing="0" w:line="259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40" w:type="dxa"/>
        <w:top w:w="20" w:type="dxa"/>
        <w:right w:w="40" w:type="dxa"/>
        <w:bottom w:w="20" w:type="dxa"/>
      </w:tblCellMar>
    </w:tblPr>
    <w:trPr>
      <w:cantSplit w:val="false"/>
      <w:jc w:val="left"/>
    </w:trPr>
    <w:tcPr>
      <w:shd w:val="clear" w:color="auto" w:fill="auto"/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https://www.ogk2.ru" TargetMode="External"/><Relationship Id="rId13" Type="http://schemas.openxmlformats.org/officeDocument/2006/relationships/hyperlink" Target="https://www.e-disclosure.ru/portal/company.aspx?id=72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9C31D-4A8E-4167-A42B-50F4426E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Белокур Елена Викторовна</dc:creator>
  <cp:keywords/>
  <dc:description/>
  <cp:lastModifiedBy>golubeva.valentina</cp:lastModifiedBy>
  <cp:revision>24</cp:revision>
  <dcterms:created xsi:type="dcterms:W3CDTF">2025-05-21T12:55:00Z</dcterms:created>
  <dcterms:modified xsi:type="dcterms:W3CDTF">2026-09-10T11:33:29Z</dcterms:modified>
</cp:coreProperties>
</file>