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3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3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05.09.2025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05.09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12.09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О проведении внеочередного заочного голосования для принятия решений Общим собранием акционеров Общества и других вопросах, связанных с подготовкой и проведением заочного голосования.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  <w:highlight w:val="none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О рекомендациях и предложениях Общему собранию акционеров Общества по вопросам повестки дня Общего собрания акционеров Общества.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  <w:highlight w:val="none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Об отдельных решениях, принятых Советом директоров Общества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4.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О согласовании назначения на должности исполнительного аппарата Общества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 w:val="0"/>
                <w:i w:val="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5. 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О предварительном согласии на совершение сдело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к, связанных с освобождением от 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имущественной обязанности перед ПАО «ОГК-2».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pStyle w:val="885"/>
              <w:spacing w:before="20" w:after="20"/>
              <w:rPr>
                <w:rFonts w:ascii="Tempora LGC Uni" w:hAnsi="Tempora LGC Uni" w:cs="Tempora LGC Un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ru-RU"/>
              </w:rPr>
              <w:t xml:space="preserve">2.4.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ru-RU"/>
              </w:rPr>
              <w:t xml:space="preserve">дентификационные признаки ценных бумаг (акций, владельцы которых имеют право на участие в общем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  <w:lang w:eastAsia="ru-RU"/>
              </w:rPr>
              <w:t xml:space="preserve"> собрании акционеров эмитента):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акции обыкновенные, государственный регистрационный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7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7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bookmarkStart w:id="0" w:name="_GoBack"/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08</w:t>
            </w:r>
            <w:bookmarkEnd w:id="0"/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сентября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  <w:rPr>
      <w:rFonts w:eastAsia="Times New Roman" w:cs="Times New Roman"/>
      <w:lang w:bidi="ar-SA"/>
    </w:rPr>
  </w:style>
  <w:style w:type="paragraph" w:styleId="656">
    <w:name w:val="Heading 1"/>
    <w:basedOn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uiPriority w:val="10"/>
    <w:qFormat/>
    <w:rPr>
      <w:sz w:val="48"/>
      <w:szCs w:val="48"/>
    </w:rPr>
  </w:style>
  <w:style w:type="character" w:styleId="678" w:customStyle="1">
    <w:name w:val="Subtitle Char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uiPriority w:val="99"/>
    <w:qFormat/>
  </w:style>
  <w:style w:type="character" w:styleId="682" w:customStyle="1">
    <w:name w:val="Footer Char"/>
    <w:uiPriority w:val="99"/>
    <w:qFormat/>
  </w:style>
  <w:style w:type="character" w:styleId="683" w:customStyle="1">
    <w:name w:val="Caption Char"/>
    <w:uiPriority w:val="99"/>
    <w:qFormat/>
  </w:style>
  <w:style w:type="character" w:styleId="684" w:customStyle="1">
    <w:name w:val="Footnote Text Char"/>
    <w:uiPriority w:val="99"/>
    <w:qFormat/>
    <w:rPr>
      <w:sz w:val="18"/>
    </w:rPr>
  </w:style>
  <w:style w:type="character" w:styleId="685" w:customStyle="1">
    <w:name w:val="Символ сноски"/>
    <w:uiPriority w:val="99"/>
    <w:unhideWhenUsed/>
    <w:qFormat/>
    <w:rPr>
      <w:vertAlign w:val="superscript"/>
    </w:rPr>
  </w:style>
  <w:style w:type="character" w:styleId="686">
    <w:name w:val="footnote reference"/>
    <w:rPr>
      <w:vertAlign w:val="superscript"/>
    </w:rPr>
  </w:style>
  <w:style w:type="character" w:styleId="687" w:customStyle="1">
    <w:name w:val="Endnote Text Char"/>
    <w:uiPriority w:val="99"/>
    <w:qFormat/>
    <w:rPr>
      <w:sz w:val="20"/>
    </w:rPr>
  </w:style>
  <w:style w:type="character" w:styleId="68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 w:customStyle="1">
    <w:name w:val="WW8Num3z0"/>
    <w:qFormat/>
  </w:style>
  <w:style w:type="character" w:styleId="691" w:customStyle="1">
    <w:name w:val="WW8Num6z0"/>
    <w:qFormat/>
    <w:rPr>
      <w:rFonts w:ascii="Times New Roman" w:hAnsi="Times New Roman" w:eastAsia="Times New Roman" w:cs="Times New Roman"/>
    </w:rPr>
  </w:style>
  <w:style w:type="character" w:styleId="692" w:customStyle="1">
    <w:name w:val="WW8Num6z1"/>
    <w:qFormat/>
  </w:style>
  <w:style w:type="character" w:styleId="693" w:customStyle="1">
    <w:name w:val="WW8Num7z1"/>
    <w:qFormat/>
  </w:style>
  <w:style w:type="character" w:styleId="694" w:customStyle="1">
    <w:name w:val="WW8Num8z0"/>
    <w:qFormat/>
  </w:style>
  <w:style w:type="character" w:styleId="695" w:customStyle="1">
    <w:name w:val="WW8Num11z0"/>
    <w:qFormat/>
  </w:style>
  <w:style w:type="character" w:styleId="696" w:customStyle="1">
    <w:name w:val="WW8Num13z0"/>
    <w:qFormat/>
  </w:style>
  <w:style w:type="character" w:styleId="697" w:customStyle="1">
    <w:name w:val="WW8Num14z0"/>
    <w:qFormat/>
  </w:style>
  <w:style w:type="character" w:styleId="698" w:customStyle="1">
    <w:name w:val="WW8Num15z0"/>
    <w:qFormat/>
  </w:style>
  <w:style w:type="character" w:styleId="699" w:customStyle="1">
    <w:name w:val="WW8Num16z0"/>
    <w:qFormat/>
  </w:style>
  <w:style w:type="character" w:styleId="700" w:customStyle="1">
    <w:name w:val="WW8Num17z0"/>
    <w:qFormat/>
  </w:style>
  <w:style w:type="character" w:styleId="701" w:customStyle="1">
    <w:name w:val="WW8Num17z2"/>
    <w:qFormat/>
  </w:style>
  <w:style w:type="character" w:styleId="702" w:customStyle="1">
    <w:name w:val="WW8Num18z0"/>
    <w:qFormat/>
    <w:rPr>
      <w:color w:val="000000"/>
    </w:rPr>
  </w:style>
  <w:style w:type="character" w:styleId="703" w:customStyle="1">
    <w:name w:val="WW8Num20z0"/>
    <w:qFormat/>
  </w:style>
  <w:style w:type="character" w:styleId="704" w:customStyle="1">
    <w:name w:val="WW8Num23z0"/>
    <w:qFormat/>
  </w:style>
  <w:style w:type="character" w:styleId="705" w:customStyle="1">
    <w:name w:val="WW8Num23z1"/>
    <w:qFormat/>
    <w:rPr>
      <w:sz w:val="26"/>
      <w:szCs w:val="26"/>
    </w:rPr>
  </w:style>
  <w:style w:type="character" w:styleId="706" w:customStyle="1">
    <w:name w:val="WW8Num23z2"/>
    <w:qFormat/>
  </w:style>
  <w:style w:type="character" w:styleId="707" w:customStyle="1">
    <w:name w:val="WW8Num24z0"/>
    <w:qFormat/>
  </w:style>
  <w:style w:type="character" w:styleId="708" w:customStyle="1">
    <w:name w:val="WW8Num25z0"/>
    <w:qFormat/>
  </w:style>
  <w:style w:type="character" w:styleId="709" w:customStyle="1">
    <w:name w:val="WW8Num25z1"/>
    <w:qFormat/>
  </w:style>
  <w:style w:type="character" w:styleId="710" w:customStyle="1">
    <w:name w:val="WW8Num26z0"/>
    <w:qFormat/>
  </w:style>
  <w:style w:type="character" w:styleId="711" w:customStyle="1">
    <w:name w:val="WW8Num27z0"/>
    <w:qFormat/>
    <w:rPr>
      <w:color w:val="000000"/>
    </w:rPr>
  </w:style>
  <w:style w:type="character" w:styleId="712">
    <w:name w:val="page number"/>
    <w:basedOn w:val="665"/>
  </w:style>
  <w:style w:type="character" w:styleId="713">
    <w:name w:val="Hyperlink"/>
    <w:rPr>
      <w:color w:val="0000ff"/>
      <w:u w:val="single"/>
    </w:rPr>
  </w:style>
  <w:style w:type="character" w:styleId="714" w:customStyle="1">
    <w:name w:val="Основной текст с отступом 2 Знак"/>
    <w:qFormat/>
    <w:rPr>
      <w:sz w:val="28"/>
      <w:szCs w:val="24"/>
    </w:rPr>
  </w:style>
  <w:style w:type="character" w:styleId="715" w:customStyle="1">
    <w:name w:val="Стандартный HTML Знак"/>
    <w:qFormat/>
    <w:rPr>
      <w:rFonts w:ascii="Courier New" w:hAnsi="Courier New" w:cs="Courier New"/>
    </w:rPr>
  </w:style>
  <w:style w:type="character" w:styleId="716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7">
    <w:name w:val="Strong"/>
    <w:qFormat/>
    <w:rPr>
      <w:b/>
      <w:bCs/>
    </w:rPr>
  </w:style>
  <w:style w:type="character" w:styleId="718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19">
    <w:name w:val="FollowedHyperlink"/>
    <w:rPr>
      <w:color w:val="954f72"/>
      <w:u w:val="single"/>
    </w:rPr>
  </w:style>
  <w:style w:type="character" w:styleId="720" w:customStyle="1">
    <w:name w:val="Символ нумерации"/>
    <w:qFormat/>
  </w:style>
  <w:style w:type="paragraph" w:styleId="721" w:customStyle="1">
    <w:name w:val="Заголовок"/>
    <w:basedOn w:val="655"/>
    <w:next w:val="722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2">
    <w:name w:val="Body Text"/>
    <w:basedOn w:val="655"/>
    <w:pPr>
      <w:spacing w:after="140" w:line="276" w:lineRule="auto"/>
    </w:pPr>
  </w:style>
  <w:style w:type="paragraph" w:styleId="723">
    <w:name w:val="List"/>
    <w:basedOn w:val="722"/>
    <w:rPr>
      <w:rFonts w:cs="Lohit Devanagari"/>
    </w:rPr>
  </w:style>
  <w:style w:type="paragraph" w:styleId="724">
    <w:name w:val="Caption"/>
    <w:basedOn w:val="65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5">
    <w:name w:val="index heading"/>
    <w:basedOn w:val="721"/>
  </w:style>
  <w:style w:type="paragraph" w:styleId="726">
    <w:name w:val="List Paragraph"/>
    <w:basedOn w:val="655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9">
    <w:name w:val="Subtitle"/>
    <w:basedOn w:val="655"/>
    <w:uiPriority w:val="11"/>
    <w:qFormat/>
    <w:pPr>
      <w:spacing w:before="200" w:after="200"/>
    </w:pPr>
    <w:rPr>
      <w:sz w:val="24"/>
      <w:szCs w:val="24"/>
    </w:rPr>
  </w:style>
  <w:style w:type="paragraph" w:styleId="730">
    <w:name w:val="Quote"/>
    <w:basedOn w:val="655"/>
    <w:uiPriority w:val="29"/>
    <w:qFormat/>
    <w:pPr>
      <w:ind w:left="720" w:right="720"/>
    </w:pPr>
    <w:rPr>
      <w:i/>
    </w:rPr>
  </w:style>
  <w:style w:type="paragraph" w:styleId="731">
    <w:name w:val="Intense Quote"/>
    <w:basedOn w:val="6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2" w:customStyle="1">
    <w:name w:val="Колонтитул"/>
    <w:basedOn w:val="65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3">
    <w:name w:val="Foot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4">
    <w:name w:val="footnote text"/>
    <w:basedOn w:val="655"/>
    <w:uiPriority w:val="99"/>
    <w:semiHidden/>
    <w:unhideWhenUsed/>
    <w:pPr>
      <w:spacing w:after="40"/>
    </w:pPr>
    <w:rPr>
      <w:sz w:val="18"/>
    </w:rPr>
  </w:style>
  <w:style w:type="paragraph" w:styleId="735">
    <w:name w:val="endnote text"/>
    <w:basedOn w:val="655"/>
    <w:uiPriority w:val="99"/>
    <w:semiHidden/>
    <w:unhideWhenUsed/>
  </w:style>
  <w:style w:type="paragraph" w:styleId="736">
    <w:name w:val="toc 1"/>
    <w:basedOn w:val="655"/>
    <w:uiPriority w:val="39"/>
    <w:unhideWhenUsed/>
    <w:pPr>
      <w:spacing w:after="57"/>
    </w:pPr>
  </w:style>
  <w:style w:type="paragraph" w:styleId="737">
    <w:name w:val="toc 2"/>
    <w:basedOn w:val="655"/>
    <w:uiPriority w:val="39"/>
    <w:unhideWhenUsed/>
    <w:pPr>
      <w:ind w:left="283"/>
      <w:spacing w:after="57"/>
    </w:pPr>
  </w:style>
  <w:style w:type="paragraph" w:styleId="738">
    <w:name w:val="toc 3"/>
    <w:basedOn w:val="655"/>
    <w:uiPriority w:val="39"/>
    <w:unhideWhenUsed/>
    <w:pPr>
      <w:ind w:left="567"/>
      <w:spacing w:after="57"/>
    </w:pPr>
  </w:style>
  <w:style w:type="paragraph" w:styleId="739">
    <w:name w:val="toc 4"/>
    <w:basedOn w:val="655"/>
    <w:uiPriority w:val="39"/>
    <w:unhideWhenUsed/>
    <w:pPr>
      <w:ind w:left="850"/>
      <w:spacing w:after="57"/>
    </w:pPr>
  </w:style>
  <w:style w:type="paragraph" w:styleId="740">
    <w:name w:val="toc 5"/>
    <w:basedOn w:val="655"/>
    <w:uiPriority w:val="39"/>
    <w:unhideWhenUsed/>
    <w:pPr>
      <w:ind w:left="1134"/>
      <w:spacing w:after="57"/>
    </w:pPr>
  </w:style>
  <w:style w:type="paragraph" w:styleId="741">
    <w:name w:val="toc 6"/>
    <w:basedOn w:val="655"/>
    <w:uiPriority w:val="39"/>
    <w:unhideWhenUsed/>
    <w:pPr>
      <w:ind w:left="1417"/>
      <w:spacing w:after="57"/>
    </w:pPr>
  </w:style>
  <w:style w:type="paragraph" w:styleId="742">
    <w:name w:val="toc 7"/>
    <w:basedOn w:val="655"/>
    <w:uiPriority w:val="39"/>
    <w:unhideWhenUsed/>
    <w:pPr>
      <w:ind w:left="1701"/>
      <w:spacing w:after="57"/>
    </w:pPr>
  </w:style>
  <w:style w:type="paragraph" w:styleId="743">
    <w:name w:val="toc 8"/>
    <w:basedOn w:val="655"/>
    <w:uiPriority w:val="39"/>
    <w:unhideWhenUsed/>
    <w:pPr>
      <w:ind w:left="1984"/>
      <w:spacing w:after="57"/>
    </w:pPr>
  </w:style>
  <w:style w:type="paragraph" w:styleId="744">
    <w:name w:val="toc 9"/>
    <w:basedOn w:val="655"/>
    <w:uiPriority w:val="39"/>
    <w:unhideWhenUsed/>
    <w:pPr>
      <w:ind w:left="2268"/>
      <w:spacing w:after="57"/>
    </w:pPr>
  </w:style>
  <w:style w:type="paragraph" w:styleId="745">
    <w:name w:val="TOC Heading"/>
    <w:uiPriority w:val="39"/>
    <w:unhideWhenUsed/>
    <w:qFormat/>
  </w:style>
  <w:style w:type="paragraph" w:styleId="746">
    <w:name w:val="table of figures"/>
    <w:basedOn w:val="655"/>
    <w:uiPriority w:val="99"/>
    <w:unhideWhenUsed/>
  </w:style>
  <w:style w:type="paragraph" w:styleId="747" w:customStyle="1">
    <w:name w:val="Caption1"/>
    <w:basedOn w:val="65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8">
    <w:name w:val="Header"/>
    <w:basedOn w:val="655"/>
    <w:pPr>
      <w:tabs>
        <w:tab w:val="center" w:pos="4153" w:leader="none"/>
        <w:tab w:val="right" w:pos="8306" w:leader="none"/>
      </w:tabs>
    </w:pPr>
  </w:style>
  <w:style w:type="paragraph" w:styleId="749">
    <w:name w:val="Balloon Text"/>
    <w:basedOn w:val="655"/>
    <w:qFormat/>
    <w:rPr>
      <w:rFonts w:ascii="Tahoma" w:hAnsi="Tahoma" w:cs="Tahoma"/>
      <w:sz w:val="16"/>
      <w:szCs w:val="16"/>
    </w:rPr>
  </w:style>
  <w:style w:type="paragraph" w:styleId="750" w:customStyle="1">
    <w:name w:val="prilozhenie"/>
    <w:basedOn w:val="655"/>
    <w:qFormat/>
    <w:pPr>
      <w:ind w:firstLine="709"/>
      <w:jc w:val="both"/>
    </w:pPr>
    <w:rPr>
      <w:sz w:val="24"/>
      <w:szCs w:val="24"/>
    </w:rPr>
  </w:style>
  <w:style w:type="paragraph" w:styleId="751">
    <w:name w:val="Body Text Indent 2"/>
    <w:basedOn w:val="655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2">
    <w:name w:val="HTML Preformatted"/>
    <w:basedOn w:val="655"/>
    <w:qFormat/>
    <w:rPr>
      <w:rFonts w:ascii="Courier New" w:hAnsi="Courier New" w:cs="Courier New"/>
    </w:rPr>
  </w:style>
  <w:style w:type="paragraph" w:styleId="753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4">
    <w:name w:val="Normal (Web)"/>
    <w:basedOn w:val="655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5" w:customStyle="1">
    <w:name w:val="Содержимое таблицы"/>
    <w:basedOn w:val="655"/>
    <w:qFormat/>
    <w:pPr>
      <w:widowControl w:val="off"/>
      <w:suppressLineNumbers/>
    </w:pPr>
  </w:style>
  <w:style w:type="paragraph" w:styleId="756" w:customStyle="1">
    <w:name w:val="Заголовок таблицы"/>
    <w:basedOn w:val="755"/>
    <w:qFormat/>
    <w:pPr>
      <w:jc w:val="center"/>
    </w:pPr>
    <w:rPr>
      <w:b/>
      <w:bCs/>
    </w:rPr>
  </w:style>
  <w:style w:type="paragraph" w:styleId="757" w:customStyle="1">
    <w:name w:val="Содержимое врезки"/>
    <w:basedOn w:val="655"/>
    <w:qFormat/>
  </w:style>
  <w:style w:type="table" w:styleId="75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4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5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6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7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8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69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0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1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2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3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4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5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6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4" w:customStyle="1">
    <w:name w:val="Абзац 4"/>
    <w:basedOn w:val="757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5" w:customStyle="1">
    <w:name w:val="Абзац 3"/>
    <w:basedOn w:val="655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6" w:customStyle="1">
    <w:name w:val="docdata"/>
    <w:basedOn w:val="665"/>
  </w:style>
  <w:style w:type="paragraph" w:styleId="887" w:customStyle="1">
    <w:name w:val="1560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8" w:customStyle="1">
    <w:name w:val="1624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2076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1702"/>
    <w:basedOn w:val="65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650"/>
    <w:basedOn w:val="65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4</cp:revision>
  <dcterms:created xsi:type="dcterms:W3CDTF">2025-08-13T06:44:00Z</dcterms:created>
  <dcterms:modified xsi:type="dcterms:W3CDTF">2025-09-08T06:51:11Z</dcterms:modified>
</cp:coreProperties>
</file>