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bookmarkStart w:id="0" w:name="_GoBack"/>
      <w:r>
        <w:rPr>
          <w:rFonts w:ascii="Tempora LGC Uni" w:hAnsi="Tempora LGC Uni" w:eastAsia="Tempora LGC Uni" w:cs="Tempora LGC Uni"/>
          <w:sz w:val="22"/>
          <w:szCs w:val="22"/>
        </w:rPr>
      </w:r>
      <w:bookmarkEnd w:id="0"/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«О выплаченных доходах по ценным бумагам эмитента, а также об иных выплатах, причитающихся владельцам ценных бумаг эмитента»</w:t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sz w:val="22"/>
          <w:szCs w:val="22"/>
        </w:rPr>
      </w:pPr>
      <w:r>
        <w:rPr>
          <w:rFonts w:ascii="Tempora LGC Uni" w:hAnsi="Tempora LGC Uni" w:eastAsia="Tempora LGC Uni" w:cs="Tempora LGC Uni"/>
          <w:b/>
          <w:sz w:val="22"/>
          <w:szCs w:val="22"/>
        </w:rPr>
      </w:r>
      <w:r>
        <w:rPr>
          <w:rFonts w:ascii="Tempora LGC Uni" w:hAnsi="Tempora LGC Uni" w:cs="Tempora LGC Uni"/>
          <w:b/>
          <w:sz w:val="22"/>
          <w:szCs w:val="22"/>
        </w:rPr>
      </w:r>
      <w:r>
        <w:rPr>
          <w:rFonts w:ascii="Tempora LGC Uni" w:hAnsi="Tempora LGC Uni" w:cs="Tempora LGC Uni"/>
          <w:b/>
          <w:sz w:val="22"/>
          <w:szCs w:val="22"/>
        </w:rPr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5047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85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85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1.2. Адрес эмитента, указанный в едином государственном реестре юридических лиц: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196605, г. Санкт-Петербург,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вн.тер.г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. поселок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Шушары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, ш Петербургское, д. 66, к. 1, литера А, этаж 7,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помещ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. 36-Н,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каб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. 701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85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1.3. Основной государственный регистрационный номер (ОГРН) эмитента (при наличии):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85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1.4. Идентификационный номер налогоплательщика (ИНН) эмитента (при наличии):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57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1.5. Уникальный код эмитента, присвоенный Банком России: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57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1.6. Адрес страницы в сети "Интернет", используемой эмитентом для раскрытия информации: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https://www.ogk2.ru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https://www.e-disclosure.ru/portal/company.aspx?id=7234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85" w:right="57"/>
              <w:spacing w:line="276" w:lineRule="auto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en-US"/>
              </w:rPr>
              <w:t xml:space="preserve">1.7. Дата наступления события (существенного факта), о котором составлено сообщение: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12.01.2026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9979" w:type="dxa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3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ind w:left="68" w:right="113"/>
              <w:jc w:val="both"/>
              <w:spacing w:before="0" w:beforeAutospacing="0"/>
              <w:tabs>
                <w:tab w:val="left" w:pos="10472" w:leader="none"/>
              </w:tabs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2.1.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tabs>
                <w:tab w:val="left" w:pos="10472" w:leader="none"/>
              </w:tabs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биржевые облигации процентны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2 184-й (Две тысячи сто восемьдесят четвертый) день с даты начала размещения биржев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ых облигаций, размещенные по открытой подписке в рамках Программы биржевых облигаций серии 002Р, имеющей идентификационный номер 4-65105-D-002P-02E от 18.10.2016, утвержденной решением Совета директоров ПАО «ОГК-2» 30.09.2016, Протокол от 30.09.2016 № 154,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 регистрационный номер выпуска 4B02-01-65105-D-002P, дата регистрации 09.07.2020, международный код (номер) идентификации ценных бумаг (ISIN): RU000A101WR0, международный код классификации финансовых инструментов (CFI): DBVUFB (далее – Биржевые облигации).</w:t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tabs>
                <w:tab w:val="left" w:pos="10472" w:leader="none"/>
              </w:tabs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tabs>
                <w:tab w:val="left" w:pos="10472" w:leader="none"/>
              </w:tabs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проценты (купонный доход) по облигациям.</w:t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дата начала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одиннадцатого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 купонного периода: 09.07.2025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;</w:t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дата окончания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одиннадцатого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 купонного периода: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07.01.2026.</w:t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Style w:val="849"/>
                <w:rFonts w:ascii="Tempora LGC Uni" w:hAnsi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suppressLineNumbers w:val="0"/>
            </w:pP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231 062 003 </w:t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(Двести </w:t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тридцать </w:t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оди</w:t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н м</w:t>
            </w: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иллион шестьдесят две тысячи три) рубля 80 копеек.</w:t>
            </w:r>
            <w:r>
              <w:rPr>
                <w:rStyle w:val="849"/>
                <w:rFonts w:ascii="Tempora LGC Uni" w:hAnsi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  <w:suppressLineNumbers w:val="0"/>
            </w:pPr>
            <w:r>
              <w:rPr>
                <w:rStyle w:val="849"/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50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(пятьдесят) рублей 36 (тридцать шесть) копеек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на одну Биржевую облигацию за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одиннадцатый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 купонный период.</w:t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sz w:val="22"/>
                <w:szCs w:val="22"/>
              </w:rPr>
              <w:t xml:space="preserve">4 588 205 (Четыре миллиона пятьсот восемьдесят восемь тысяч двести пять)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sz w:val="22"/>
                <w:szCs w:val="22"/>
              </w:rPr>
              <w:t xml:space="preserve">штук.*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sz w:val="22"/>
                <w:szCs w:val="22"/>
              </w:rPr>
              <w:t xml:space="preserve">* 17.07.2023 эмитентом приобретены Биржевые облигации в количестве 411 795 (Четыреста одиннадцать тысяч семьсот девяносто пять) штук по цене приобретения Биржевых облигаций,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sz w:val="22"/>
                <w:szCs w:val="22"/>
              </w:rPr>
              <w:t xml:space="preserve">определенной как 100 (сто) процентов от непогашенной части номинальной стоимости Биржевых облигаций и составляющей 1000 (Одна тысяча) рублей.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денежные средства в валюте Российской Федерации.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2.8.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</w:rPr>
              <w:t xml:space="preserve">не применимо.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2.9. Дата, в которую обязанность по выплате доходов по ценным бумага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07.01.2026 (расчетная дата), 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b/>
                <w:bCs/>
                <w:i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i/>
                <w:iCs/>
                <w:sz w:val="22"/>
                <w:szCs w:val="22"/>
              </w:rPr>
              <w:t xml:space="preserve">12.01.2026 (фактическая дата).</w:t>
            </w:r>
            <w:r>
              <w:rPr>
                <w:rFonts w:ascii="Tempora LGC Uni" w:hAnsi="Tempora LGC Uni" w:cs="Tempora LGC Uni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2.10. Объем (в процентах), в котором исполнено обязательство по выплате доходов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68" w:right="113"/>
              <w:jc w:val="both"/>
              <w:spacing w:before="0" w:before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  <w:lang w:eastAsia="en-US"/>
              </w:rPr>
              <w:t xml:space="preserve">Обязательство эмитента по выплате доходов по 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  <w:lang w:eastAsia="en-US"/>
              </w:rPr>
              <w:t xml:space="preserve">десятому</w:t>
            </w:r>
            <w:r>
              <w:rPr>
                <w:rFonts w:ascii="Tempora LGC Uni" w:hAnsi="Tempora LGC Uni" w:eastAsia="Tempora LGC Uni" w:cs="Tempora LGC Uni"/>
                <w:b/>
                <w:i/>
                <w:sz w:val="22"/>
                <w:szCs w:val="22"/>
                <w:lang w:eastAsia="en-US"/>
              </w:rPr>
              <w:t xml:space="preserve"> купонному периоду по Биржевым облигациям исполнено в полном объеме (100%).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06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511"/>
        <w:gridCol w:w="57"/>
        <w:gridCol w:w="1164"/>
        <w:gridCol w:w="538"/>
        <w:gridCol w:w="567"/>
        <w:gridCol w:w="990"/>
        <w:gridCol w:w="2"/>
        <w:gridCol w:w="1170"/>
        <w:gridCol w:w="2"/>
        <w:gridCol w:w="460"/>
        <w:gridCol w:w="3072"/>
        <w:gridCol w:w="393"/>
        <w:gridCol w:w="2"/>
      </w:tblGrid>
      <w:tr>
        <w:tblPrEx/>
        <w:trPr>
          <w:cantSplit/>
          <w:gridAfter w:val="1"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pStyle w:val="850"/>
              <w:ind w:left="0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635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93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b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b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4"/>
            <w:tcW w:w="1635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393" w:type="dxa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 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cs="Tempora LGC Uni"/>
                <w:sz w:val="22"/>
                <w:szCs w:val="22"/>
              </w:rPr>
              <w:t xml:space="preserve"> 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января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38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W w:w="992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W w:w="1173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392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3927" w:type="dxa"/>
            <w:textDirection w:val="lrTb"/>
            <w:noWrap w:val="false"/>
          </w:tcPr>
          <w:p>
            <w:pPr>
              <w:ind w:left="113" w:right="113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ind w:left="113" w:right="113"/>
        <w:rPr>
          <w:rFonts w:ascii="Tempora LGC Uni" w:hAnsi="Tempora LGC Uni" w:cs="Tempora LGC Uni"/>
          <w:sz w:val="22"/>
          <w:szCs w:val="22"/>
        </w:rPr>
        <w:suppressLineNumbers w:val="0"/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empora LGC Uni">
    <w:panose1 w:val="020206030504050203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7"/>
    <w:next w:val="827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7"/>
    <w:next w:val="827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7"/>
    <w:next w:val="827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7"/>
    <w:next w:val="827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3"/>
    <w:uiPriority w:val="99"/>
  </w:style>
  <w:style w:type="character" w:styleId="681">
    <w:name w:val="Footer Char"/>
    <w:basedOn w:val="828"/>
    <w:link w:val="844"/>
    <w:uiPriority w:val="99"/>
  </w:style>
  <w:style w:type="character" w:styleId="682">
    <w:name w:val="Caption Char"/>
    <w:basedOn w:val="828"/>
    <w:link w:val="840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"/>
    <w:basedOn w:val="8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/>
      <w:sz w:val="20"/>
      <w:szCs w:val="20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character" w:styleId="831" w:customStyle="1">
    <w:name w:val="Верхний колонтитул Знак"/>
    <w:basedOn w:val="828"/>
    <w:link w:val="843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2">
    <w:name w:val="annotation reference"/>
    <w:basedOn w:val="828"/>
    <w:uiPriority w:val="99"/>
    <w:semiHidden/>
    <w:unhideWhenUsed/>
    <w:qFormat/>
    <w:rPr>
      <w:sz w:val="16"/>
      <w:szCs w:val="16"/>
    </w:rPr>
  </w:style>
  <w:style w:type="character" w:styleId="833" w:customStyle="1">
    <w:name w:val="Нижний колонтитул Знак"/>
    <w:basedOn w:val="828"/>
    <w:link w:val="844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4" w:customStyle="1">
    <w:name w:val="Текст примечания Знак"/>
    <w:basedOn w:val="828"/>
    <w:link w:val="845"/>
    <w:uiPriority w:val="99"/>
    <w:semiHidden/>
    <w:qFormat/>
    <w:rPr>
      <w:rFonts w:ascii="Times New Roman" w:hAnsi="Times New Roman"/>
      <w:sz w:val="20"/>
      <w:szCs w:val="20"/>
    </w:rPr>
  </w:style>
  <w:style w:type="character" w:styleId="835" w:customStyle="1">
    <w:name w:val="Тема примечания Знак"/>
    <w:basedOn w:val="834"/>
    <w:link w:val="846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styleId="836" w:customStyle="1">
    <w:name w:val="Текст выноски Знак"/>
    <w:basedOn w:val="828"/>
    <w:link w:val="847"/>
    <w:uiPriority w:val="99"/>
    <w:semiHidden/>
    <w:qFormat/>
    <w:rPr>
      <w:rFonts w:ascii="Tahoma" w:hAnsi="Tahoma" w:cs="Tahoma"/>
      <w:sz w:val="16"/>
      <w:szCs w:val="16"/>
    </w:rPr>
  </w:style>
  <w:style w:type="paragraph" w:styleId="837" w:customStyle="1">
    <w:name w:val="Заголовок"/>
    <w:basedOn w:val="827"/>
    <w:next w:val="83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38">
    <w:name w:val="Body Text"/>
    <w:basedOn w:val="827"/>
    <w:pPr>
      <w:spacing w:after="140" w:line="276" w:lineRule="auto"/>
    </w:pPr>
  </w:style>
  <w:style w:type="paragraph" w:styleId="839">
    <w:name w:val="List"/>
    <w:basedOn w:val="838"/>
    <w:rPr>
      <w:rFonts w:cs="Lohit Devanagari"/>
    </w:rPr>
  </w:style>
  <w:style w:type="paragraph" w:styleId="840">
    <w:name w:val="Caption"/>
    <w:basedOn w:val="827"/>
    <w:link w:val="68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41">
    <w:name w:val="index heading"/>
    <w:basedOn w:val="827"/>
    <w:qFormat/>
    <w:pPr>
      <w:suppressLineNumbers/>
    </w:pPr>
    <w:rPr>
      <w:rFonts w:cs="Lohit Devanagari"/>
    </w:rPr>
  </w:style>
  <w:style w:type="paragraph" w:styleId="842" w:customStyle="1">
    <w:name w:val="Колонтитул"/>
    <w:basedOn w:val="827"/>
    <w:qFormat/>
  </w:style>
  <w:style w:type="paragraph" w:styleId="843">
    <w:name w:val="Header"/>
    <w:basedOn w:val="827"/>
    <w:link w:val="831"/>
    <w:uiPriority w:val="99"/>
    <w:pPr>
      <w:tabs>
        <w:tab w:val="center" w:pos="4153" w:leader="none"/>
        <w:tab w:val="right" w:pos="8306" w:leader="none"/>
      </w:tabs>
    </w:pPr>
  </w:style>
  <w:style w:type="paragraph" w:styleId="844">
    <w:name w:val="Footer"/>
    <w:basedOn w:val="827"/>
    <w:link w:val="833"/>
    <w:uiPriority w:val="99"/>
    <w:pPr>
      <w:tabs>
        <w:tab w:val="center" w:pos="4153" w:leader="none"/>
        <w:tab w:val="right" w:pos="8306" w:leader="none"/>
      </w:tabs>
    </w:pPr>
  </w:style>
  <w:style w:type="paragraph" w:styleId="845">
    <w:name w:val="annotation text"/>
    <w:basedOn w:val="827"/>
    <w:link w:val="834"/>
    <w:uiPriority w:val="99"/>
    <w:semiHidden/>
    <w:unhideWhenUsed/>
    <w:qFormat/>
  </w:style>
  <w:style w:type="paragraph" w:styleId="846">
    <w:name w:val="annotation subject"/>
    <w:basedOn w:val="845"/>
    <w:next w:val="845"/>
    <w:link w:val="835"/>
    <w:uiPriority w:val="99"/>
    <w:semiHidden/>
    <w:unhideWhenUsed/>
    <w:qFormat/>
    <w:rPr>
      <w:b/>
      <w:bCs/>
    </w:rPr>
  </w:style>
  <w:style w:type="paragraph" w:styleId="847">
    <w:name w:val="Balloon Text"/>
    <w:basedOn w:val="827"/>
    <w:link w:val="83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48">
    <w:name w:val="List Paragraph"/>
    <w:basedOn w:val="827"/>
    <w:uiPriority w:val="34"/>
    <w:qFormat/>
    <w:pPr>
      <w:contextualSpacing/>
      <w:ind w:left="720"/>
    </w:pPr>
  </w:style>
  <w:style w:type="character" w:styleId="849" w:customStyle="1">
    <w:name w:val="docdata"/>
    <w:basedOn w:val="828"/>
  </w:style>
  <w:style w:type="paragraph" w:styleId="850">
    <w:name w:val="No Spacing"/>
    <w:uiPriority w:val="1"/>
    <w:qFormat/>
    <w:rPr>
      <w:rFonts w:ascii="Times New Roman" w:hAnsi="Times New Roman" w:eastAsia="WenQuanYi Micro Hei" w:cs="Lohit Devanagari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>shishova.ekaterina</cp:lastModifiedBy>
  <cp:revision>5</cp:revision>
  <dcterms:created xsi:type="dcterms:W3CDTF">2025-07-09T11:49:00Z</dcterms:created>
  <dcterms:modified xsi:type="dcterms:W3CDTF">2026-01-12T13:30:12Z</dcterms:modified>
</cp:coreProperties>
</file>