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2"/>
        <w:jc w:val="center"/>
        <w:tabs>
          <w:tab w:val="left" w:pos="4395" w:leader="none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Сообщение о существенном факте </w:t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left="99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«О проведении общего собрания участников (акционеров) эмитента и о принятых им решениях»</w:t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p>
      <w:pPr>
        <w:ind w:left="1134" w:right="113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</w:r>
    </w:p>
    <w:tbl>
      <w:tblPr>
        <w:tblW w:w="10773" w:type="dxa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7"/>
        <w:gridCol w:w="5886"/>
      </w:tblGrid>
      <w:tr>
        <w:tblPrEx/>
        <w:trPr>
          <w:cantSplit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Общие сведения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196605, г. Санкт-Петербург, </w:t>
            </w:r>
            <w:r>
              <w:rPr>
                <w:b/>
                <w:bCs/>
                <w:iCs/>
                <w:sz w:val="21"/>
                <w:szCs w:val="21"/>
              </w:rPr>
              <w:t xml:space="preserve">вн.тер.г</w:t>
            </w:r>
            <w:r>
              <w:rPr>
                <w:b/>
                <w:bCs/>
                <w:iCs/>
                <w:sz w:val="21"/>
                <w:szCs w:val="21"/>
              </w:rPr>
              <w:t xml:space="preserve">. поселок </w:t>
            </w:r>
            <w:r>
              <w:rPr>
                <w:b/>
                <w:bCs/>
                <w:iCs/>
                <w:sz w:val="21"/>
                <w:szCs w:val="21"/>
              </w:rPr>
              <w:t xml:space="preserve">Шушары</w:t>
            </w:r>
            <w:r>
              <w:rPr>
                <w:b/>
                <w:bCs/>
                <w:iCs/>
                <w:sz w:val="21"/>
                <w:szCs w:val="21"/>
              </w:rPr>
              <w:t xml:space="preserve">, 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ш Петербургское, д. 66, к. 1, литера А, этаж 7, </w:t>
            </w:r>
            <w:r>
              <w:rPr>
                <w:b/>
                <w:bCs/>
                <w:iCs/>
                <w:sz w:val="21"/>
                <w:szCs w:val="21"/>
              </w:rPr>
              <w:t xml:space="preserve">помещ</w:t>
            </w:r>
            <w:r>
              <w:rPr>
                <w:b/>
                <w:bCs/>
                <w:iCs/>
                <w:sz w:val="21"/>
                <w:szCs w:val="21"/>
              </w:rPr>
              <w:t xml:space="preserve">. 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left="40" w:right="85"/>
              <w:rPr>
                <w:b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36-Н, </w:t>
            </w:r>
            <w:r>
              <w:rPr>
                <w:b/>
                <w:bCs/>
                <w:iCs/>
                <w:sz w:val="21"/>
                <w:szCs w:val="21"/>
              </w:rPr>
              <w:t xml:space="preserve">каб</w:t>
            </w:r>
            <w:r>
              <w:rPr>
                <w:b/>
                <w:bCs/>
                <w:iCs/>
                <w:sz w:val="21"/>
                <w:szCs w:val="21"/>
              </w:rPr>
              <w:t xml:space="preserve">. 701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bCs/>
                <w:iCs/>
                <w:sz w:val="21"/>
                <w:szCs w:val="21"/>
              </w:rPr>
              <w:t xml:space="preserve"> 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1052600002180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2607018122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65105-D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/>
            <w:hyperlink r:id="rId11" w:tooltip="https://www.ogk2.ru" w:history="1">
              <w:r>
                <w:rPr>
                  <w:b/>
                  <w:bCs/>
                  <w:iCs/>
                  <w:sz w:val="21"/>
                  <w:szCs w:val="21"/>
                </w:rPr>
                <w:t xml:space="preserve">https://www.ogk2.ru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/>
            <w:hyperlink r:id="rId12" w:tooltip="https://www.e-disclosure.ru/portal/company.aspx?id=7234" w:history="1">
              <w:r>
                <w:rPr>
                  <w:b/>
                  <w:bCs/>
                  <w:iCs/>
                  <w:sz w:val="21"/>
                  <w:szCs w:val="21"/>
                </w:rPr>
                <w:t xml:space="preserve">https://www.e-disclosure.ru/portal/company.aspx?id=7234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4887" w:type="dxa"/>
            <w:textDirection w:val="lrTb"/>
            <w:noWrap w:val="false"/>
          </w:tcPr>
          <w:p>
            <w:pPr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  <w:tc>
          <w:tcPr>
            <w:shd w:val="clear" w:color="auto" w:fill="auto"/>
            <w:tcW w:w="5886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 xml:space="preserve">21.10</w:t>
            </w:r>
            <w:r>
              <w:rPr>
                <w:b/>
                <w:bCs/>
                <w:iCs/>
                <w:sz w:val="21"/>
                <w:szCs w:val="21"/>
              </w:rPr>
              <w:t xml:space="preserve">.2025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1448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9214"/>
        <w:gridCol w:w="1559"/>
      </w:tblGrid>
      <w:tr>
        <w:tblPrEx/>
        <w:trPr>
          <w:gridBefore w:val="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Содержание сообщения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trHeight w:val="86"/>
        </w:trPr>
        <w:tc>
          <w:tcPr>
            <w:gridSpan w:val="2"/>
            <w:tcW w:w="9889" w:type="dxa"/>
            <w:textDirection w:val="lrTb"/>
            <w:noWrap w:val="false"/>
          </w:tcPr>
          <w:p>
            <w:pPr>
              <w:pStyle w:val="906"/>
              <w:jc w:val="right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</w:r>
            <w:r>
              <w:rPr>
                <w:spacing w:val="-2"/>
                <w:sz w:val="21"/>
                <w:szCs w:val="21"/>
              </w:rPr>
            </w:r>
            <w:r>
              <w:rPr>
                <w:spacing w:val="-2"/>
                <w:sz w:val="21"/>
                <w:szCs w:val="21"/>
              </w:rPr>
            </w:r>
          </w:p>
        </w:tc>
      </w:tr>
      <w:tr>
        <w:tblPrEx/>
        <w:trPr>
          <w:gridBefore w:val="1"/>
          <w:trHeight w:val="274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right="57"/>
              <w:jc w:val="both"/>
              <w:rPr>
                <w:b/>
                <w:bCs/>
                <w:i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2.1. Вид общего собрания акционеров эмитента: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вне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очередное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.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i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2.2. Форма проведения общего собрания акционеров эмитента: </w:t>
            </w:r>
            <w:r>
              <w:rPr>
                <w:b/>
                <w:i/>
                <w:sz w:val="21"/>
                <w:szCs w:val="21"/>
              </w:rPr>
              <w:t xml:space="preserve">Способ принятия решений Общим собранием акционеров - заочное голосование.</w:t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pStyle w:val="898"/>
              <w:ind w:right="57"/>
              <w:jc w:val="both"/>
              <w:widowControl w:val="off"/>
              <w:tabs>
                <w:tab w:val="clear" w:pos="4153" w:leader="none"/>
                <w:tab w:val="clear" w:pos="8306" w:leader="none"/>
              </w:tabs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2.3. Дата, место, время проведения общего собрания акционеров эмитента: 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i/>
                <w:sz w:val="21"/>
                <w:szCs w:val="21"/>
              </w:rPr>
              <w:outlineLvl w:val="3"/>
            </w:pPr>
            <w:r>
              <w:rPr>
                <w:b/>
                <w:i/>
                <w:sz w:val="21"/>
                <w:szCs w:val="21"/>
              </w:rPr>
              <w:t xml:space="preserve">Дата проведения Общего собрания акционеров (дата окончания приема заполненных бюллетеней для голосования): 17 октября</w:t>
            </w:r>
            <w:r>
              <w:rPr>
                <w:b/>
                <w:i/>
                <w:sz w:val="21"/>
                <w:szCs w:val="21"/>
              </w:rPr>
              <w:t xml:space="preserve"> 2025 г.; </w:t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i/>
                <w:sz w:val="21"/>
                <w:szCs w:val="21"/>
              </w:rPr>
              <w:outlineLvl w:val="3"/>
            </w:pPr>
            <w:r>
              <w:rPr>
                <w:b/>
                <w:i/>
                <w:sz w:val="21"/>
                <w:szCs w:val="21"/>
              </w:rPr>
              <w:t xml:space="preserve">Место, время проведения: не применимо, </w:t>
            </w:r>
            <w:r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способ принятия решений - заочное голосование.</w:t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i/>
                <w:sz w:val="21"/>
                <w:szCs w:val="21"/>
              </w:rPr>
              <w:outlineLvl w:val="3"/>
            </w:pPr>
            <w:r>
              <w:rPr>
                <w:b/>
                <w:i/>
                <w:sz w:val="21"/>
                <w:szCs w:val="21"/>
              </w:rPr>
              <w:t xml:space="preserve">Почтовый адрес для направления заполненных бюллетеней для голосования: 196605, г. Санкт-Петербург, </w:t>
            </w:r>
            <w:r>
              <w:rPr>
                <w:b/>
                <w:i/>
                <w:sz w:val="21"/>
                <w:szCs w:val="21"/>
              </w:rPr>
              <w:t xml:space="preserve">вн.тер.г</w:t>
            </w:r>
            <w:r>
              <w:rPr>
                <w:b/>
                <w:i/>
                <w:sz w:val="21"/>
                <w:szCs w:val="21"/>
              </w:rPr>
              <w:t xml:space="preserve">. поселок </w:t>
            </w:r>
            <w:r>
              <w:rPr>
                <w:b/>
                <w:i/>
                <w:sz w:val="21"/>
                <w:szCs w:val="21"/>
              </w:rPr>
              <w:t xml:space="preserve">Шушары</w:t>
            </w:r>
            <w:r>
              <w:rPr>
                <w:b/>
                <w:i/>
                <w:sz w:val="21"/>
                <w:szCs w:val="21"/>
              </w:rPr>
              <w:t xml:space="preserve">, ш Петербургское, д. 66, к. 1, литера А, этаж 7, </w:t>
            </w:r>
            <w:r>
              <w:rPr>
                <w:b/>
                <w:i/>
                <w:sz w:val="21"/>
                <w:szCs w:val="21"/>
              </w:rPr>
              <w:t xml:space="preserve">помещ</w:t>
            </w:r>
            <w:r>
              <w:rPr>
                <w:b/>
                <w:i/>
                <w:sz w:val="21"/>
                <w:szCs w:val="21"/>
              </w:rPr>
              <w:t xml:space="preserve">. 36-Н, </w:t>
            </w:r>
            <w:r>
              <w:rPr>
                <w:b/>
                <w:i/>
                <w:sz w:val="21"/>
                <w:szCs w:val="21"/>
              </w:rPr>
              <w:t xml:space="preserve">каб</w:t>
            </w:r>
            <w:r>
              <w:rPr>
                <w:b/>
                <w:i/>
                <w:sz w:val="21"/>
                <w:szCs w:val="21"/>
              </w:rPr>
              <w:t xml:space="preserve">. 701,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i/>
                <w:color w:val="000000"/>
                <w:sz w:val="21"/>
                <w:szCs w:val="21"/>
              </w:rPr>
              <w:br/>
              <w:t xml:space="preserve">ПАО «ОГК-2»</w:t>
            </w:r>
            <w:r>
              <w:rPr>
                <w:b/>
                <w:i/>
                <w:color w:val="000000"/>
                <w:spacing w:val="-2"/>
                <w:sz w:val="21"/>
                <w:szCs w:val="21"/>
              </w:rPr>
              <w:t xml:space="preserve">.</w:t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pStyle w:val="906"/>
              <w:ind w:right="57"/>
              <w:jc w:val="both"/>
              <w:rPr>
                <w:rStyle w:val="903"/>
                <w:b/>
                <w:i/>
                <w:spacing w:val="-2"/>
                <w:sz w:val="21"/>
                <w:szCs w:val="21"/>
              </w:rPr>
            </w:pPr>
            <w:r>
              <w:rPr>
                <w:b/>
                <w:i/>
                <w:spacing w:val="-4"/>
                <w:sz w:val="21"/>
                <w:szCs w:val="21"/>
              </w:rPr>
              <w:t xml:space="preserve">Адрес сайта в сети Интернет, на котором могла быть заполнена электронная форма бюллетеней:</w:t>
            </w:r>
            <w:r>
              <w:rPr>
                <w:rStyle w:val="903"/>
                <w:b/>
                <w:i/>
                <w:spacing w:val="-2"/>
                <w:sz w:val="21"/>
                <w:szCs w:val="21"/>
              </w:rPr>
            </w:r>
            <w:r>
              <w:rPr>
                <w:rStyle w:val="903"/>
                <w:b/>
                <w:i/>
                <w:spacing w:val="-2"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i/>
                <w:sz w:val="21"/>
                <w:szCs w:val="21"/>
              </w:rPr>
              <w:outlineLvl w:val="3"/>
            </w:pPr>
            <w:r>
              <w:rPr>
                <w:b/>
                <w:i/>
                <w:spacing w:val="-2"/>
                <w:sz w:val="21"/>
                <w:szCs w:val="21"/>
              </w:rPr>
              <w:t xml:space="preserve">https://draga.ru/akcioneram/uslugi/uchastie-v-sobranii-akcionerov/golosovanie/pao-ogk-2/</w:t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/>
                <w:iCs/>
                <w:sz w:val="21"/>
                <w:szCs w:val="21"/>
              </w:rPr>
              <w:outlineLvl w:val="3"/>
            </w:pPr>
            <w:r>
              <w:rPr>
                <w:bCs/>
                <w:i/>
                <w:iCs/>
                <w:sz w:val="21"/>
                <w:szCs w:val="21"/>
              </w:rPr>
            </w:r>
            <w:r>
              <w:rPr>
                <w:bCs/>
                <w:i/>
                <w:iCs/>
                <w:sz w:val="21"/>
                <w:szCs w:val="21"/>
              </w:rPr>
            </w:r>
            <w:r>
              <w:rPr>
                <w:bCs/>
                <w:i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2.4. Сведения о кворуме общего собрания акционеров эмитента: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bCs/>
                <w:i/>
                <w:iCs/>
                <w:sz w:val="21"/>
                <w:szCs w:val="21"/>
              </w:rPr>
              <w:outlineLvl w:val="3"/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На 23.09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.2025 - д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ату определения (фиксации) лиц, имевших право </w:t>
            </w:r>
            <w:bookmarkStart w:id="0" w:name="_Hlk189122567"/>
            <w:r>
              <w:rPr>
                <w:b/>
                <w:bCs/>
                <w:i/>
                <w:iCs/>
                <w:sz w:val="21"/>
                <w:szCs w:val="21"/>
              </w:rPr>
              <w:t xml:space="preserve">голоса при принятии решений Общим собранием</w:t>
            </w:r>
            <w:bookmarkEnd w:id="0"/>
            <w:r>
              <w:rPr>
                <w:b/>
                <w:bCs/>
                <w:i/>
                <w:iCs/>
                <w:sz w:val="21"/>
                <w:szCs w:val="21"/>
              </w:rPr>
              <w:t xml:space="preserve"> акционеров ПАО «ОГК-2» (далее – Собрание), число голосов </w:t>
            </w:r>
            <w:r>
              <w:rPr>
                <w:b/>
                <w:i/>
                <w:sz w:val="21"/>
                <w:szCs w:val="21"/>
              </w:rPr>
              <w:t xml:space="preserve">которыми обладали </w:t>
            </w: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акционеры - владельцы голосующих акций Общества (лица, включенные в список лиц, имевших голоса при принятии решений Собранием)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составило </w:t>
            </w:r>
            <w:r>
              <w:rPr>
                <w:b/>
                <w:bCs/>
                <w:i/>
                <w:iCs/>
              </w:rPr>
              <w:t xml:space="preserve">136 207 041</w:t>
            </w:r>
            <w:r>
              <w:rPr>
                <w:b/>
                <w:bCs/>
                <w:i/>
                <w:iCs/>
              </w:rPr>
              <w:t xml:space="preserve"> </w:t>
            </w:r>
            <w:r>
              <w:rPr>
                <w:b/>
                <w:bCs/>
                <w:i/>
                <w:iCs/>
              </w:rPr>
              <w:t xml:space="preserve">782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.</w:t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pStyle w:val="905"/>
              <w:ind w:right="57"/>
              <w:jc w:val="both"/>
              <w:rPr>
                <w:b/>
                <w:bCs/>
                <w:i/>
                <w:iCs/>
                <w:spacing w:val="-4"/>
                <w:sz w:val="21"/>
                <w:szCs w:val="21"/>
                <w14:ligatures w14:val="none"/>
              </w:rPr>
            </w:pP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Число голосов, приходившихся на голосующие акции Общества по вопросу</w:t>
            </w: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 1</w:t>
            </w: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 повестки дня Собрания, определенное с учетом положений пункта 4.24 Положения Банка России от 16 ноября 2018 г. № 660-п </w:t>
            </w: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«Об общих собраниях акционеров»</w:t>
            </w: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: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21"/>
                <w:szCs w:val="21"/>
              </w:rPr>
              <w:t xml:space="preserve">136 197 401 082</w:t>
            </w:r>
            <w:r>
              <w:rPr>
                <w:b/>
                <w:bCs/>
                <w:i/>
                <w:iCs/>
                <w:spacing w:val="-4"/>
                <w:sz w:val="21"/>
                <w:szCs w:val="21"/>
              </w:rPr>
            </w:r>
            <w:bookmarkStart w:id="1" w:name="_GoBack"/>
            <w:r>
              <w:rPr>
                <w:b/>
                <w:bCs/>
                <w:i/>
                <w:iCs/>
                <w:spacing w:val="-4"/>
                <w:sz w:val="21"/>
                <w:szCs w:val="21"/>
              </w:rPr>
            </w:r>
            <w:bookmarkEnd w:id="1"/>
            <w:r>
              <w:rPr>
                <w:b/>
                <w:bCs/>
                <w:i/>
                <w:iCs/>
                <w:spacing w:val="-4"/>
                <w:sz w:val="21"/>
                <w:szCs w:val="21"/>
              </w:rPr>
              <w:t xml:space="preserve">.</w:t>
            </w:r>
            <w:r>
              <w:rPr>
                <w:b/>
                <w:bCs/>
                <w:i/>
                <w:iCs/>
                <w:spacing w:val="-4"/>
                <w:sz w:val="21"/>
                <w:szCs w:val="21"/>
                <w14:ligatures w14:val="none"/>
              </w:rPr>
            </w:r>
            <w:r>
              <w:rPr>
                <w:b/>
                <w:bCs/>
                <w:i/>
                <w:iCs/>
                <w:spacing w:val="-4"/>
                <w:sz w:val="21"/>
                <w:szCs w:val="21"/>
                <w14:ligatures w14:val="none"/>
              </w:rPr>
            </w:r>
          </w:p>
          <w:p>
            <w:pPr>
              <w:pStyle w:val="905"/>
              <w:ind w:right="57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Число голосов, которыми обладали акционеры - владельцы голосующих акций Общества, принявшие участие в Собрании, по вопросу</w:t>
            </w: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1 </w:t>
            </w:r>
            <w:r>
              <w:rPr>
                <w:b/>
                <w:i/>
                <w:iCs/>
                <w:spacing w:val="-4"/>
                <w:sz w:val="21"/>
                <w:szCs w:val="21"/>
              </w:rPr>
              <w:t xml:space="preserve">повестки дня Собрания: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21"/>
                <w:szCs w:val="21"/>
              </w:rPr>
              <w:t xml:space="preserve">115 094 356 839.</w:t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pStyle w:val="905"/>
              <w:ind w:right="57"/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widowControl w:val="off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Кворум имелся.</w:t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i/>
                <w:sz w:val="21"/>
                <w:szCs w:val="21"/>
              </w:rPr>
              <w:outlineLvl w:val="3"/>
            </w:pP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2.5. Повестка дня общего собрания акционеров эмитента: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pStyle w:val="905"/>
              <w:ind w:left="0" w:right="57" w:firstLine="0"/>
              <w:jc w:val="both"/>
              <w:rPr>
                <w:b/>
                <w:bCs/>
                <w:i/>
                <w:spacing w:val="-4"/>
                <w:sz w:val="21"/>
                <w:szCs w:val="21"/>
                <w14:ligatures w14:val="none"/>
              </w:rPr>
            </w:pPr>
            <w:r>
              <w:rPr>
                <w:b/>
                <w:bCs/>
                <w:i/>
                <w:iCs/>
                <w:spacing w:val="-4"/>
                <w:sz w:val="21"/>
                <w:szCs w:val="21"/>
              </w:rPr>
              <w:t xml:space="preserve">1. О распределении прибыли (в том числе о выплате (объявлении) дивидендов) и убытков Общества по результатам 2024 года.</w:t>
            </w:r>
            <w:r>
              <w:rPr>
                <w:b/>
                <w:bCs/>
                <w:i/>
                <w:spacing w:val="-4"/>
                <w:sz w:val="21"/>
                <w:szCs w:val="21"/>
                <w14:ligatures w14:val="none"/>
              </w:rPr>
            </w:r>
            <w:r>
              <w:rPr>
                <w:b/>
                <w:bCs/>
                <w:i/>
                <w:spacing w:val="-4"/>
                <w:sz w:val="21"/>
                <w:szCs w:val="21"/>
                <w14:ligatures w14:val="none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2.6. Результаты голосования по вопросам повестки дня общего собрания акционеров эмитента, по которым имелся кворум, и </w:t>
            </w:r>
            <w:r>
              <w:rPr>
                <w:bCs/>
                <w:iCs/>
                <w:sz w:val="21"/>
                <w:szCs w:val="21"/>
              </w:rPr>
              <w:t xml:space="preserve">формулировки решений, принятых О</w:t>
            </w:r>
            <w:r>
              <w:rPr>
                <w:bCs/>
                <w:iCs/>
                <w:sz w:val="21"/>
                <w:szCs w:val="21"/>
              </w:rPr>
              <w:t xml:space="preserve">бщим собранием акционеров эмитента по указанным вопросам: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Результаты голосования по вопросу № 1 повестки дня:</w:t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340"/>
              <w:gridCol w:w="3060"/>
              <w:gridCol w:w="3060"/>
            </w:tblGrid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«ЗА»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115 094 306 822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99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99996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%)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«ПРОТИВ»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0,0000%)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blCellSpacing w:w="0" w:type="dxa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828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 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340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«ВОЗДЕРЖАЛСЯ»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pStyle w:val="905"/>
                    <w:jc w:val="left"/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50 017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060" w:type="dxa"/>
                  <w:vAlign w:val="center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(0,000</w:t>
                  </w:r>
                  <w:r>
                    <w:rPr>
                      <w:sz w:val="20"/>
                      <w:szCs w:val="20"/>
                    </w:rPr>
                    <w:t xml:space="preserve">04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%)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904"/>
              <w:ind w:right="57"/>
              <w:jc w:val="both"/>
              <w:widowControl w:val="off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ind w:right="57"/>
              <w:jc w:val="both"/>
              <w:tabs>
                <w:tab w:val="left" w:pos="284" w:leader="none"/>
              </w:tabs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 xml:space="preserve">Число голосов по вопросу 1 повестки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 составило: 0 (0,0000%).</w:t>
            </w:r>
            <w:bookmarkStart w:id="2" w:name="_GoBack_0_0"/>
            <w:r/>
            <w:bookmarkEnd w:id="2"/>
            <w:r>
              <w:rPr>
                <w:b/>
                <w:bCs/>
                <w:i/>
                <w:sz w:val="21"/>
                <w:szCs w:val="21"/>
              </w:rPr>
            </w:r>
            <w:r>
              <w:rPr>
                <w:b/>
                <w:bCs/>
                <w:i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  <w:r>
              <w:rPr>
                <w:b/>
                <w:i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Формулировка решения</w:t>
            </w:r>
            <w:r>
              <w:rPr>
                <w:bCs/>
                <w:sz w:val="21"/>
                <w:szCs w:val="21"/>
              </w:rPr>
              <w:t xml:space="preserve"> по вопросу № 1 повестки дня, принято</w:t>
            </w:r>
            <w:r>
              <w:rPr>
                <w:bCs/>
                <w:sz w:val="21"/>
                <w:szCs w:val="21"/>
              </w:rPr>
              <w:t xml:space="preserve">го</w:t>
            </w:r>
            <w:r>
              <w:rPr>
                <w:bCs/>
                <w:sz w:val="21"/>
                <w:szCs w:val="21"/>
              </w:rPr>
              <w:t xml:space="preserve"> Собранием: </w: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pStyle w:val="904"/>
              <w:ind w:right="57"/>
              <w:jc w:val="both"/>
              <w:widowControl w:val="off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i/>
                <w:iCs/>
                <w14:ligatures w14:val="none"/>
              </w:rPr>
              <w:outlineLvl w:val="0"/>
            </w:pPr>
            <w:r>
              <w:rPr>
                <w:b/>
                <w:bCs/>
                <w:sz w:val="21"/>
                <w:szCs w:val="21"/>
              </w:rPr>
              <w:t xml:space="preserve">«1.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 </w:t>
            </w:r>
            <w:r>
              <w:rPr>
                <w:b/>
                <w:bCs/>
                <w:sz w:val="21"/>
                <w:szCs w:val="21"/>
              </w:rPr>
              <w:t xml:space="preserve">Утвердить следующее распределение прибыли и убытков Общества за 2024 год:</w:t>
            </w:r>
            <w:r>
              <w:rPr>
                <w:i/>
                <w:iCs/>
                <w14:ligatures w14:val="none"/>
              </w:rPr>
            </w:r>
            <w:r>
              <w:rPr>
                <w:i/>
                <w:iCs/>
                <w14:ligatures w14:val="none"/>
              </w:rPr>
            </w:r>
          </w:p>
          <w:tbl>
            <w:tblPr>
              <w:tblW w:w="7699" w:type="dxa"/>
              <w:tblInd w:w="35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5290"/>
              <w:gridCol w:w="2409"/>
            </w:tblGrid>
            <w:tr>
              <w:tblPrEx/>
              <w:trPr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290" w:type="dxa"/>
                  <w:vAlign w:val="top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09" w:type="dxa"/>
                  <w:vAlign w:val="top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i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(тыс.руб.)</w:t>
                  </w:r>
                  <w:r>
                    <w:rPr>
                      <w:b/>
                      <w:i/>
                      <w:spacing w:val="-4"/>
                      <w14:ligatures w14:val="none"/>
                    </w:rPr>
                  </w:r>
                  <w:r>
                    <w:rPr>
                      <w:b/>
                      <w:i/>
                      <w:spacing w:val="-4"/>
                      <w14:ligatures w14:val="none"/>
                    </w:rPr>
                  </w:r>
                </w:p>
              </w:tc>
            </w:tr>
            <w:tr>
              <w:tblPrEx/>
              <w:trPr>
                <w:trHeight w:val="32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290" w:type="dxa"/>
                  <w:vAlign w:val="top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Нераспределенная прибыль (убыток) отчетного периода:</w:t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09" w:type="dxa"/>
                  <w:vAlign w:val="top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10 929 681 </w:t>
                  </w:r>
                  <w:r>
                    <w:rPr>
                      <w:b/>
                      <w14:ligatures w14:val="none"/>
                    </w:rPr>
                  </w:r>
                  <w:r>
                    <w:rPr>
                      <w:b/>
                      <w14:ligatures w14:val="none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699" w:type="dxa"/>
                  <w:vAlign w:val="top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 в том числе:</w:t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290" w:type="dxa"/>
                  <w:vAlign w:val="top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- резервный фонд</w:t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09" w:type="dxa"/>
                  <w:vAlign w:val="bottom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467 269 </w:t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290" w:type="dxa"/>
                  <w:vAlign w:val="top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- дивиденды</w:t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09" w:type="dxa"/>
                  <w:vAlign w:val="bottom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8 147 456 </w:t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290" w:type="dxa"/>
                  <w:vAlign w:val="top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 - оставить в распоряжении ПАО «ОГК-2»</w:t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409" w:type="dxa"/>
                  <w:vAlign w:val="bottom"/>
                  <w:textDirection w:val="lrTb"/>
                  <w:noWrap w:val="false"/>
                </w:tcPr>
                <w:p>
                  <w:pPr>
                    <w:ind w:right="57"/>
                    <w:jc w:val="both"/>
                    <w:rPr>
                      <w:b/>
                      <w:spacing w:val="-4"/>
                      <w14:ligatures w14:val="none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2 314 956 </w:t>
                  </w:r>
                  <w:r>
                    <w:rPr>
                      <w:b/>
                      <w:spacing w:val="-4"/>
                      <w14:ligatures w14:val="none"/>
                    </w:rPr>
                  </w:r>
                  <w:r>
                    <w:rPr>
                      <w:b/>
                      <w:spacing w:val="-4"/>
                      <w14:ligatures w14:val="none"/>
                    </w:rPr>
                  </w:r>
                </w:p>
              </w:tc>
            </w:tr>
          </w:tbl>
          <w:p>
            <w:pPr>
              <w:ind w:right="57"/>
              <w:jc w:val="both"/>
              <w:rPr>
                <w:b/>
                <w:bCs/>
                <w14:ligatures w14:val="none"/>
              </w:rPr>
              <w:outlineLvl w:val="0"/>
            </w:pPr>
            <w:r>
              <w:rPr>
                <w:b/>
                <w:bCs/>
                <w:sz w:val="21"/>
                <w:szCs w:val="21"/>
              </w:rPr>
              <w:t xml:space="preserve">2.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 </w:t>
            </w:r>
            <w:r>
              <w:rPr>
                <w:b/>
                <w:bCs/>
                <w:sz w:val="21"/>
                <w:szCs w:val="21"/>
              </w:rPr>
              <w:t xml:space="preserve">Выплатить дивиденды по обыкновенным акциям Общества по результатам 2024 года в размере 0,0598167018 рубля на одну обыкновенную акцию Общества в денежной форме в порядке и в сроки, установленные действующим законодательством Российской Федерации. 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  <w:p>
            <w:pPr>
              <w:ind w:right="57"/>
              <w:jc w:val="both"/>
              <w:rPr>
                <w:b/>
                <w:bCs/>
                <w14:ligatures w14:val="none"/>
              </w:rPr>
              <w:outlineLvl w:val="0"/>
            </w:pPr>
            <w:r>
              <w:rPr>
                <w:b/>
                <w:bCs/>
                <w:sz w:val="21"/>
                <w:szCs w:val="21"/>
              </w:rPr>
              <w:t xml:space="preserve">3.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 </w:t>
            </w:r>
            <w:r>
              <w:rPr>
                <w:b/>
                <w:bCs/>
                <w:sz w:val="21"/>
                <w:szCs w:val="21"/>
              </w:rPr>
              <w:t xml:space="preserve">Определить дату составления списка лиц, имеющих право на получение дивидендов по обыкновенным акциям Общества по результатам 2024 года – 05 ноября 2025 года (на конец операционного дня).»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  <w:p>
            <w:pPr>
              <w:pStyle w:val="908"/>
              <w:ind w:left="0" w:right="57"/>
              <w:jc w:val="both"/>
              <w:spacing w:after="0" w:line="240" w:lineRule="auto"/>
              <w:rPr>
                <w:rFonts w:ascii="Times New Roman" w:hAnsi="Times New Roman" w:eastAsiaTheme="minorHAnsi"/>
                <w:bCs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Cs/>
                <w:sz w:val="21"/>
                <w:szCs w:val="21"/>
              </w:rPr>
            </w:r>
            <w:r>
              <w:rPr>
                <w:rFonts w:ascii="Times New Roman" w:hAnsi="Times New Roman" w:eastAsiaTheme="minorHAnsi"/>
                <w:bCs/>
                <w:sz w:val="21"/>
                <w:szCs w:val="21"/>
              </w:rPr>
            </w:r>
            <w:r>
              <w:rPr>
                <w:rFonts w:ascii="Times New Roman" w:hAnsi="Times New Roman" w:eastAsiaTheme="minorHAnsi"/>
                <w:b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/>
                <w:bCs/>
                <w:i/>
                <w:iCs/>
                <w:sz w:val="21"/>
                <w:szCs w:val="21"/>
              </w:rPr>
              <w:outlineLvl w:val="3"/>
            </w:pPr>
            <w:r>
              <w:rPr>
                <w:bCs/>
                <w:iCs/>
                <w:sz w:val="21"/>
                <w:szCs w:val="21"/>
              </w:rPr>
              <w:t xml:space="preserve">2.7. Дата составления и номер протокола общего собрания акционеров эмитента: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21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октября 2025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года, </w:t>
            </w:r>
            <w:r>
              <w:rPr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протокол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№ 22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.</w:t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  <w:r>
              <w:rPr>
                <w:b/>
                <w:bCs/>
                <w:i/>
                <w:iCs/>
                <w:sz w:val="21"/>
                <w:szCs w:val="21"/>
              </w:rPr>
            </w:r>
          </w:p>
          <w:p>
            <w:pPr>
              <w:ind w:right="57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2.8. Идентификационные признаки ценных бумаг (акций, владельцы которых имеют право на участие в общем собрании акционеров эмитента): 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акции обыкновенные, государственный регистрационный номер 1-02-65105-D от 19.04.2007, международный код (номер) идентификации ценных бумаг (ISIN): RU000A0JNG55, международный код классификации финансовых инструментов (CFI) ESVXFR.</w:t>
            </w:r>
            <w:r>
              <w:rPr>
                <w:bCs/>
                <w:iCs/>
                <w:sz w:val="21"/>
                <w:szCs w:val="21"/>
              </w:rPr>
            </w:r>
            <w:r>
              <w:rPr>
                <w:bCs/>
                <w:iCs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773" w:type="dxa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68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Подпись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907"/>
              <w:rPr>
                <w:rFonts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3.1. </w:t>
            </w:r>
            <w:r>
              <w:rPr>
                <w:rFonts w:eastAsia="Times New Roman" w:cs="Times New Roman"/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eastAsia="Times New Roman" w:cs="Times New Roman"/>
                <w:b/>
                <w:color w:val="000000"/>
                <w:sz w:val="21"/>
                <w:szCs w:val="21"/>
              </w:rPr>
            </w:r>
            <w:r>
              <w:rPr>
                <w:rFonts w:eastAsia="Times New Roman" w:cs="Times New Roman"/>
                <w:b/>
                <w:color w:val="000000"/>
                <w:sz w:val="21"/>
                <w:szCs w:val="21"/>
              </w:rPr>
            </w:r>
          </w:p>
          <w:p>
            <w:pPr>
              <w:pStyle w:val="907"/>
              <w:rPr>
                <w:rFonts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color w:val="000000"/>
                <w:sz w:val="21"/>
                <w:szCs w:val="21"/>
              </w:rPr>
              <w:t xml:space="preserve">от </w:t>
            </w:r>
            <w:r>
              <w:rPr>
                <w:rFonts w:cs="Times New Roman"/>
                <w:b/>
                <w:bCs/>
                <w:sz w:val="21"/>
                <w:szCs w:val="21"/>
              </w:rPr>
              <w:t xml:space="preserve">07.06.2022</w:t>
            </w: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Е.Н. Егорова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(подпись)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3.2. Дата </w:t>
            </w:r>
            <w:r>
              <w:rPr>
                <w:sz w:val="21"/>
                <w:szCs w:val="21"/>
              </w:rPr>
              <w:t xml:space="preserve">   “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</w:t>
            </w:r>
            <w:r>
              <w:rPr>
                <w:sz w:val="21"/>
                <w:szCs w:val="21"/>
              </w:rPr>
              <w:t xml:space="preserve">2</w:t>
            </w:r>
            <w:r>
              <w:rPr>
                <w:sz w:val="21"/>
                <w:szCs w:val="21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”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октября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4214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21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0" w:right="850" w:bottom="426" w:left="108" w:header="397" w:footer="39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Calibri">
    <w:panose1 w:val="020F0502020204030204"/>
  </w:font>
  <w:font w:name="WenQuanYi Micro Hei">
    <w:panose1 w:val="020B0606030804020204"/>
  </w:font>
  <w:font w:name="Lohit Devanagari">
    <w:panose1 w:val="020B06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separate"/>
    </w:r>
    <w:r>
      <w:rPr>
        <w:rStyle w:val="902"/>
      </w:rPr>
      <w:t xml:space="preserve">3</w: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720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440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160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2880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3600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320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040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5760"/>
      </w:pPr>
      <w:rPr>
        <w:rFonts w:cs="Times New Roman"/>
        <w:spacing w:val="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4"/>
    <w:next w:val="894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895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4"/>
    <w:next w:val="894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5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5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5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5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4"/>
    <w:next w:val="894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5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4"/>
    <w:next w:val="894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5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4"/>
    <w:next w:val="894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5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4"/>
    <w:next w:val="894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5"/>
    <w:link w:val="740"/>
    <w:uiPriority w:val="10"/>
    <w:rPr>
      <w:sz w:val="48"/>
      <w:szCs w:val="48"/>
    </w:rPr>
  </w:style>
  <w:style w:type="paragraph" w:styleId="742">
    <w:name w:val="Subtitle"/>
    <w:basedOn w:val="894"/>
    <w:next w:val="894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5"/>
    <w:link w:val="742"/>
    <w:uiPriority w:val="11"/>
    <w:rPr>
      <w:sz w:val="24"/>
      <w:szCs w:val="24"/>
    </w:rPr>
  </w:style>
  <w:style w:type="paragraph" w:styleId="744">
    <w:name w:val="Quote"/>
    <w:basedOn w:val="894"/>
    <w:next w:val="894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4"/>
    <w:next w:val="894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5"/>
    <w:link w:val="900"/>
    <w:uiPriority w:val="99"/>
  </w:style>
  <w:style w:type="character" w:styleId="749">
    <w:name w:val="Footer Char"/>
    <w:basedOn w:val="895"/>
    <w:link w:val="898"/>
    <w:uiPriority w:val="99"/>
  </w:style>
  <w:style w:type="paragraph" w:styleId="750">
    <w:name w:val="Caption"/>
    <w:basedOn w:val="894"/>
    <w:next w:val="894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5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5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Footer"/>
    <w:basedOn w:val="894"/>
    <w:link w:val="899"/>
    <w:pPr>
      <w:tabs>
        <w:tab w:val="center" w:pos="4153" w:leader="none"/>
        <w:tab w:val="right" w:pos="8306" w:leader="none"/>
      </w:tabs>
    </w:pPr>
  </w:style>
  <w:style w:type="character" w:styleId="899" w:customStyle="1">
    <w:name w:val="Нижний колонтитул Знак"/>
    <w:basedOn w:val="895"/>
    <w:link w:val="89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>
    <w:name w:val="Header"/>
    <w:basedOn w:val="894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895"/>
    <w:link w:val="9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2">
    <w:name w:val="page number"/>
    <w:basedOn w:val="895"/>
  </w:style>
  <w:style w:type="character" w:styleId="903">
    <w:name w:val="Hyperlink"/>
    <w:rPr>
      <w:color w:val="0000ff"/>
      <w:u w:val="single"/>
    </w:rPr>
  </w:style>
  <w:style w:type="paragraph" w:styleId="904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5" w:customStyle="1">
    <w:name w:val="Normal_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07">
    <w:name w:val="No Spacing"/>
    <w:uiPriority w:val="1"/>
    <w:qFormat/>
    <w:pPr>
      <w:spacing w:after="0" w:line="240" w:lineRule="auto"/>
    </w:pPr>
    <w:rPr>
      <w:rFonts w:ascii="Times New Roman" w:hAnsi="Times New Roman" w:eastAsia="WenQuanYi Micro Hei" w:cs="Lohit Devanagari"/>
      <w:sz w:val="20"/>
      <w:szCs w:val="20"/>
      <w:lang w:eastAsia="zh-CN" w:bidi="hi-IN"/>
    </w:rPr>
  </w:style>
  <w:style w:type="paragraph" w:styleId="908">
    <w:name w:val="List Paragraph"/>
    <w:basedOn w:val="894"/>
    <w:link w:val="9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09" w:customStyle="1">
    <w:name w:val="Абзац списка Знак"/>
    <w:link w:val="908"/>
    <w:uiPriority w:val="34"/>
    <w:rPr>
      <w:rFonts w:ascii="Calibri" w:hAnsi="Calibri" w:eastAsia="Calibri" w:cs="Times New Roman"/>
    </w:rPr>
  </w:style>
  <w:style w:type="table" w:styleId="910">
    <w:name w:val="Table Grid"/>
    <w:basedOn w:val="89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1" w:customStyle="1">
    <w:name w:val="docdata"/>
    <w:basedOn w:val="895"/>
  </w:style>
  <w:style w:type="paragraph" w:styleId="912" w:customStyle="1">
    <w:name w:val="1529"/>
    <w:basedOn w:val="894"/>
    <w:pPr>
      <w:spacing w:before="100" w:beforeAutospacing="1" w:after="100" w:afterAutospacing="1"/>
    </w:pPr>
    <w:rPr>
      <w:sz w:val="24"/>
      <w:szCs w:val="24"/>
    </w:rPr>
  </w:style>
  <w:style w:type="paragraph" w:styleId="913">
    <w:name w:val="Normal (Web)"/>
    <w:basedOn w:val="89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4" w:customStyle="1">
    <w:name w:val="1995"/>
    <w:basedOn w:val="894"/>
    <w:pPr>
      <w:spacing w:before="100" w:beforeAutospacing="1" w:after="100" w:afterAutospacing="1"/>
    </w:pPr>
    <w:rPr>
      <w:sz w:val="24"/>
      <w:szCs w:val="24"/>
    </w:rPr>
  </w:style>
  <w:style w:type="paragraph" w:styleId="915" w:customStyle="1">
    <w:name w:val="7617"/>
    <w:basedOn w:val="894"/>
    <w:pPr>
      <w:spacing w:before="100" w:beforeAutospacing="1" w:after="100" w:afterAutospacing="1"/>
    </w:pPr>
    <w:rPr>
      <w:sz w:val="24"/>
      <w:szCs w:val="24"/>
    </w:rPr>
  </w:style>
  <w:style w:type="paragraph" w:styleId="916">
    <w:name w:val="Balloon Text"/>
    <w:basedOn w:val="894"/>
    <w:link w:val="91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5"/>
    <w:link w:val="9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8" w:customStyle="1">
    <w:name w:val="Normal_0_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www.ogk2.ru" TargetMode="External"/><Relationship Id="rId12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Палинова Екатерина Александровна</dc:creator>
  <cp:keywords/>
  <dc:description/>
  <cp:lastModifiedBy>shishova.ekaterina</cp:lastModifiedBy>
  <cp:revision>6</cp:revision>
  <dcterms:created xsi:type="dcterms:W3CDTF">2025-06-25T13:09:00Z</dcterms:created>
  <dcterms:modified xsi:type="dcterms:W3CDTF">2025-10-22T06:46:04Z</dcterms:modified>
</cp:coreProperties>
</file>