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bCs/>
          <w:sz w:val="20"/>
          <w:szCs w:val="20"/>
          <w:highlight w:val="none"/>
        </w:rPr>
      </w:r>
      <w:r>
        <w:rPr>
          <w:rFonts w:ascii="Liberation Serif" w:hAnsi="Liberation Serif" w:eastAsia="Liberation Serif" w:cs="Liberation Serif"/>
          <w:b/>
          <w:bCs/>
          <w:sz w:val="20"/>
          <w:szCs w:val="20"/>
          <w:highlight w:val="none"/>
        </w:rPr>
      </w:r>
    </w:p>
    <w:p>
      <w:pPr>
        <w:ind w:left="0" w:right="0" w:firstLine="0"/>
        <w:jc w:val="center"/>
        <w:shd w:val="clear" w:color="ffffff" w:fill="ffffff"/>
        <w:rPr>
          <w:rFonts w:ascii="Liberation Serif" w:hAnsi="Liberation Serif" w:cs="Liberation Serif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/>
          <w:sz w:val="20"/>
          <w:szCs w:val="20"/>
          <w:highlight w:val="white"/>
        </w:rPr>
        <w:t xml:space="preserve">Сообщение о корректировке информации, содержащейся в сообщении о существенном факте </w:t>
      </w:r>
      <w:r>
        <w:rPr>
          <w:rFonts w:ascii="Liberation Serif" w:hAnsi="Liberation Serif" w:eastAsia="Liberation Serif" w:cs="Liberation Serif"/>
          <w:b/>
          <w:bCs/>
          <w:sz w:val="20"/>
          <w:szCs w:val="20"/>
        </w:rPr>
      </w:r>
    </w:p>
    <w:p>
      <w:pPr>
        <w:jc w:val="center"/>
        <w:rPr>
          <w:rFonts w:ascii="Liberation Serif" w:hAnsi="Liberation Serif" w:eastAsia="Liberation Serif" w:cs="Liberation Serif"/>
          <w:b/>
          <w:bCs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0"/>
          <w:szCs w:val="20"/>
          <w:highlight w:val="white"/>
        </w:rPr>
        <w:t xml:space="preserve">«Сообщение об изменении или корректировке информации, ранее опубликованной в Ленте новостей»</w:t>
      </w:r>
      <w:r>
        <w:rPr>
          <w:rFonts w:ascii="Liberation Serif" w:hAnsi="Liberation Serif" w:eastAsia="Liberation Serif" w:cs="Liberation Serif"/>
          <w:b/>
          <w:bCs/>
          <w:sz w:val="20"/>
          <w:szCs w:val="20"/>
          <w:highlight w:val="none"/>
        </w:rPr>
      </w:r>
      <w:r>
        <w:rPr>
          <w:rFonts w:ascii="Liberation Serif" w:hAnsi="Liberation Serif" w:eastAsia="Liberation Serif" w:cs="Liberation Serif"/>
          <w:b/>
          <w:bCs/>
          <w:sz w:val="20"/>
          <w:szCs w:val="20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sz w:val="20"/>
          <w:szCs w:val="20"/>
        </w:rPr>
      </w:r>
      <w:r>
        <w:rPr>
          <w:rFonts w:ascii="Liberation Serif" w:hAnsi="Liberation Serif" w:cs="Liberation Serif"/>
          <w:b/>
          <w:sz w:val="20"/>
          <w:szCs w:val="20"/>
        </w:rPr>
      </w:r>
      <w:r>
        <w:rPr>
          <w:rFonts w:ascii="Liberation Serif" w:hAnsi="Liberation Serif" w:cs="Liberation Serif"/>
          <w:b/>
          <w:sz w:val="20"/>
          <w:szCs w:val="20"/>
        </w:rPr>
      </w:r>
    </w:p>
    <w:tbl>
      <w:tblPr>
        <w:tblW w:w="10630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5414"/>
      </w:tblGrid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1. Общие сведения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4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1.2. Адрес эмитента, указанный в едином государственном реестре юридических лиц: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4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196605, г. Санкт-Петербург,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вн.тер.г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. поселок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Шушары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, ш Петербургское, д. 66, к. 1, литера А, этаж 7,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помещ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. 36-Н,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каб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. 701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1.3. Основной государственный регистрационный номер (ОГРН) эмитента (при наличии):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4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1052600002180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1.4. Идентификационный номер налогоплательщика (ИНН) эмитента (при наличии):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4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2607018122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1.5. Уникальный код эмитента, присвоенный Банком России: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4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65105-D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1.6. Адрес страницы в сети «Интернет», используемой эмитентом для раскрытия информации: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4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https://www.ogk2.ru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https://www.e-disclosure.ru/portal/company.aspx?id=7234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1.7. Дата наступления события (существенного факта), о котором составлено сообщение: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4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09.07.2026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 w:cs="Liberation Serif"/>
          <w:b/>
          <w:bCs/>
          <w:sz w:val="20"/>
          <w:szCs w:val="20"/>
          <w:highlight w:val="none"/>
        </w:rPr>
      </w:pP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</w: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</w:r>
    </w:p>
    <w:tbl>
      <w:tblPr>
        <w:tblW w:w="10630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2. Содержание сообщения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1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left="57" w:right="57" w:firstLine="0"/>
              <w:jc w:val="both"/>
              <w:spacing w:line="240" w:lineRule="auto"/>
              <w:shd w:val="clear" w:color="ffffff" w:fill="ffffff"/>
              <w:rPr>
                <w:rFonts w:ascii="Liberation Serif" w:hAnsi="Liberation Serif" w:cs="Liberation Serif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2. Содержание сообщения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</w:p>
          <w:p>
            <w:pPr>
              <w:ind w:left="57" w:right="57" w:firstLine="0"/>
              <w:jc w:val="both"/>
              <w:spacing w:line="240" w:lineRule="auto"/>
              <w:shd w:val="clear" w:color="ffffff" w:fill="ffffff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Настоящее сообщение публикуется в порядке изменения (корректировки) информации, содержащейся в ранее опубликованном сообщении.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</w:p>
          <w:p>
            <w:pPr>
              <w:ind w:left="57" w:right="57" w:firstLine="0"/>
              <w:jc w:val="both"/>
              <w:spacing w:line="240" w:lineRule="auto"/>
              <w:shd w:val="clear" w:color="ffffff" w:fill="ffffff"/>
              <w:rPr>
                <w:rFonts w:ascii="Liberation Serif" w:hAnsi="Liberation Serif" w:cs="Liberation Serif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57" w:right="57" w:firstLine="0"/>
              <w:jc w:val="both"/>
              <w:spacing w:line="240" w:lineRule="auto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Ссылка на ранее опубликованное сообщение, информация в котором изменяется (корректируется):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Сообщение о существенном факте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О погашении облигаций или иных ценных бумаг эмитента, не являющихся акциями»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(опубликовано 08.07.2026 17:30:00)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57" w:right="57" w:firstLine="0"/>
              <w:jc w:val="both"/>
              <w:spacing w:line="240" w:lineRule="auto"/>
              <w:shd w:val="clear" w:color="ffffff" w:fill="ffffff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</w:r>
            <w:hyperlink r:id="rId8" w:tooltip="https://www.e-disclosure.ru/portal/event.aspx?EventId=dAnEEacc4UaCGgnpoeb3cQ-B-B" w:history="1">
              <w:r>
                <w:rPr>
                  <w:rStyle w:val="811"/>
                  <w:rFonts w:ascii="Liberation Serif" w:hAnsi="Liberation Serif" w:eastAsia="Liberation Serif" w:cs="Liberation Serif"/>
                  <w:b/>
                  <w:bCs/>
                  <w:sz w:val="20"/>
                  <w:szCs w:val="20"/>
                  <w:highlight w:val="white"/>
                </w:rPr>
                <w:t xml:space="preserve">https://www.e-disclosure.ru/portal/event.aspx?EventId=dAnEEacc4UaCGgnpoeb3cQ-B-B</w:t>
              </w:r>
              <w:r>
                <w:rPr>
                  <w:rStyle w:val="811"/>
                  <w:rFonts w:ascii="Liberation Serif" w:hAnsi="Liberation Serif" w:eastAsia="Liberation Serif" w:cs="Liberation Serif"/>
                  <w:b/>
                  <w:bCs/>
                  <w:sz w:val="20"/>
                  <w:szCs w:val="20"/>
                  <w:highlight w:val="white"/>
                </w:rPr>
              </w:r>
              <w:r>
                <w:rPr>
                  <w:rStyle w:val="811"/>
                  <w:rFonts w:ascii="Liberation Serif" w:hAnsi="Liberation Serif" w:eastAsia="Liberation Serif" w:cs="Liberation Serif"/>
                  <w:b/>
                  <w:bCs/>
                  <w:sz w:val="20"/>
                  <w:szCs w:val="20"/>
                </w:rPr>
              </w:r>
            </w:hyperlink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</w:rPr>
            </w:r>
            <w:r/>
          </w:p>
          <w:p>
            <w:pPr>
              <w:ind w:left="57" w:right="57" w:firstLine="0"/>
              <w:jc w:val="both"/>
              <w:spacing w:line="240" w:lineRule="auto"/>
              <w:shd w:val="clear" w:color="ffffff" w:fill="ffffff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57" w:right="57" w:firstLine="0"/>
              <w:jc w:val="both"/>
              <w:spacing w:line="240" w:lineRule="auto"/>
              <w:shd w:val="clear" w:color="ffffff" w:fill="ffffff"/>
              <w:rPr>
                <w:rFonts w:ascii="Liberation Serif" w:hAnsi="Liberation Serif" w:cs="Liberation Serif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</w:p>
          <w:p>
            <w:pPr>
              <w:ind w:left="57" w:right="57" w:firstLine="0"/>
              <w:jc w:val="both"/>
              <w:spacing w:line="240" w:lineRule="auto"/>
              <w:shd w:val="clear" w:color="ffffff" w:fill="ffffff"/>
              <w:rPr>
                <w:rFonts w:ascii="Liberation Serif" w:hAnsi="Liberation Serif" w:cs="Liberation Serif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</w:p>
          <w:p>
            <w:pPr>
              <w:ind w:left="57" w:right="57" w:firstLine="0"/>
              <w:jc w:val="both"/>
              <w:spacing w:line="240" w:lineRule="auto"/>
              <w:shd w:val="clear" w:color="ffffff" w:fill="ffffff"/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Краткое описание внесенных изменений и причин (обстоятельств), послуживших основанием их внесения: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в связи с технической ошибкой в сообщении о существенном факте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к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ч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облигаций эмитента, которые были погашены,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б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б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ч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Б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ж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б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г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ц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й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в количестве 411 795 (Четыреста одиннадцать тысяч семьсот девяносто пять) штук,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б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э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57" w:right="57" w:firstLine="0"/>
              <w:jc w:val="both"/>
              <w:spacing w:line="240" w:lineRule="auto"/>
              <w:shd w:val="clear" w:color="ffffff" w:fill="ffffff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57" w:right="57" w:firstLine="0"/>
              <w:jc w:val="both"/>
              <w:spacing w:line="240" w:lineRule="auto"/>
              <w:shd w:val="clear" w:color="ffffff" w:fill="ffffff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Полный текст публикуемого сообщения с учетом внесенных изменений: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57"/>
              <w:jc w:val="center"/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ind w:left="57"/>
              <w:jc w:val="center"/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</w:rPr>
              <w:t xml:space="preserve">Сообщение о существенном факте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ind w:lef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</w:rPr>
              <w:t xml:space="preserve">«О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погашении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облигаций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или иных ценных бумаг эмитента, не являющихся акциями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</w:rPr>
              <w:t xml:space="preserve">»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</w:p>
          <w:p>
            <w:pPr>
              <w:ind w:left="57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  <w:tbl>
            <w:tblPr>
              <w:tblW w:w="10063" w:type="dxa"/>
              <w:tblInd w:w="25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961"/>
              <w:gridCol w:w="5102"/>
            </w:tblGrid>
            <w:tr>
              <w:tblPrEx/>
              <w:trPr>
                <w:cantSplit/>
              </w:trPr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3" w:type="dxa"/>
                  <w:textDirection w:val="lrTb"/>
                  <w:noWrap w:val="false"/>
                </w:tcPr>
                <w:p>
                  <w:pPr>
                    <w:ind w:left="57"/>
                    <w:jc w:val="center"/>
                    <w:rPr>
                      <w:rFonts w:ascii="Liberation Serif" w:hAnsi="Liberation Serif" w:cs="Liberation Serif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</w:rPr>
                    <w:t xml:space="preserve">1. Общие сведения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961" w:type="dxa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  <w:lang w:eastAsia="en-US"/>
                    </w:rPr>
                    <w:t xml:space="preserve">1.1. Полное фирменное наименование (для коммерческой организации) или наименование (для некоммерческой организации) эмитента: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2" w:type="dxa"/>
                  <w:vAlign w:val="center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Публичное акционерное общество «Вторая генерирующая компания оптового рынка электроэнергии»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961" w:type="dxa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  <w:lang w:eastAsia="en-US"/>
                    </w:rPr>
                    <w:t xml:space="preserve">1.2. Адрес эмитента, указанный в едином государственном реестре юридических лиц: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2" w:type="dxa"/>
                  <w:vAlign w:val="center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196605, г. Санкт-Петербург, 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вн.тер.г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. поселок 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Шушары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, ш Петербургское, д. 66, к. 1, литера А, этаж 7, 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помещ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. 36-Н, 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каб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. 701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961" w:type="dxa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  <w:lang w:eastAsia="en-US"/>
                    </w:rPr>
                    <w:t xml:space="preserve">1.3. Основной государственный регистрационный номер (ОГРН) эмитента (при наличии):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2" w:type="dxa"/>
                  <w:vAlign w:val="center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1052600002180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961" w:type="dxa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  <w:lang w:eastAsia="en-US"/>
                    </w:rPr>
                    <w:t xml:space="preserve">1.4. Идентификационный номер налогоплательщика (ИНН) эмитента (при наличии):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2" w:type="dxa"/>
                  <w:vAlign w:val="center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2607018122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961" w:type="dxa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  <w:lang w:eastAsia="en-US"/>
                    </w:rPr>
                    <w:t xml:space="preserve">1.5. Уникальный код эмитента, присвоенный Банком России: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2" w:type="dxa"/>
                  <w:vAlign w:val="center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65105-D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961" w:type="dxa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  <w:lang w:eastAsia="en-US"/>
                    </w:rPr>
                    <w:t xml:space="preserve">1.6. Адрес страницы в сети «Интернет», используемой эмитентом для раскрытия информации: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2" w:type="dxa"/>
                  <w:vAlign w:val="center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https://www.ogk2.ru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</w:p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https://www.e-disclosure.ru/portal/company.aspx?id=7234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961" w:type="dxa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  <w:lang w:eastAsia="en-US"/>
                    </w:rPr>
                    <w:t xml:space="preserve">1.7. Дата наступления события (существенного факта), о котором составлено сообщение: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2" w:type="dxa"/>
                  <w:vAlign w:val="center"/>
                  <w:textDirection w:val="lrTb"/>
                  <w:noWrap w:val="false"/>
                </w:tcPr>
                <w:p>
                  <w:pPr>
                    <w:ind w:left="57" w:right="57"/>
                    <w:spacing w:line="240" w:lineRule="auto"/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 xml:space="preserve">08.07.2026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ind w:left="57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tbl>
            <w:tblPr>
              <w:tblW w:w="10063" w:type="dxa"/>
              <w:tblInd w:w="25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063"/>
            </w:tblGrid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3" w:type="dxa"/>
                  <w:textDirection w:val="lrTb"/>
                  <w:noWrap w:val="false"/>
                </w:tcPr>
                <w:p>
                  <w:pPr>
                    <w:ind w:left="57"/>
                    <w:jc w:val="center"/>
                    <w:rPr>
                      <w:rFonts w:ascii="Liberation Serif" w:hAnsi="Liberation Serif" w:cs="Liberation Serif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</w:rPr>
                    <w:t xml:space="preserve">2. Содержание сообщения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155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63" w:type="dxa"/>
                  <w:textDirection w:val="lrTb"/>
                  <w:noWrap w:val="false"/>
                </w:tcPr>
                <w:p>
                  <w:pPr>
                    <w:ind w:left="57" w:right="57"/>
                    <w:jc w:val="both"/>
                    <w:spacing w:before="0" w:beforeAutospacing="0"/>
                    <w:tabs>
                      <w:tab w:val="left" w:pos="10472" w:leader="none"/>
                    </w:tabs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  <w:highlight w:val="white"/>
                    </w:rPr>
                    <w:t xml:space="preserve">2.1.</w:t>
                  </w: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  <w:highlight w:val="white"/>
                    </w:rPr>
                    <w:t xml:space="preserve"> </w:t>
                  </w: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  <w:highlight w:val="white"/>
                    </w:rPr>
                    <w:t xml:space="preserve">Идентификационные признаки ценных бумаг эмитента, которые были погашены: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</w:r>
                </w:p>
                <w:p>
                  <w:pPr>
                    <w:ind w:left="57" w:right="57"/>
                    <w:jc w:val="both"/>
                    <w:spacing w:before="0" w:beforeAutospacing="0"/>
                    <w:tabs>
                      <w:tab w:val="left" w:pos="10472" w:leader="none"/>
                    </w:tabs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  <w:highlight w:val="white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b/>
                      <w:i w:val="0"/>
                      <w:iCs w:val="0"/>
                      <w:sz w:val="20"/>
                      <w:szCs w:val="20"/>
                      <w:highlight w:val="white"/>
                    </w:rPr>
                    <w:t xml:space="preserve">биржевые облигации процентны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i w:val="0"/>
                      <w:iCs w:val="0"/>
                      <w:sz w:val="20"/>
                      <w:szCs w:val="20"/>
                      <w:highlight w:val="white"/>
                    </w:rPr>
                    <w:t xml:space="preserve">е неконвертируемые бездокументарные с централизованным учетом прав серии 002P-01, номинальной стоимостью 1 000 (Одна тысяча) российских рублей каждая, со сроком погашения в 2 184-й (Две тысячи сто восемьдесят четвертый) день с даты начала размещения биржев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i w:val="0"/>
                      <w:iCs w:val="0"/>
                      <w:sz w:val="20"/>
                      <w:szCs w:val="20"/>
                      <w:highlight w:val="white"/>
                    </w:rPr>
                    <w:t xml:space="preserve">ых облигаций, размещенные по открытой подписке в рамках Программы биржевых облигаций серии 002Р, имеющей идентификационный номер 4-65105-D-002P-02E от 18.10.2016, утвержденной решением Совета директоров ПАО «ОГК-2» 30.09.2016, Протокол от 30.09.2016 № 154,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i w:val="0"/>
                      <w:iCs w:val="0"/>
                      <w:sz w:val="20"/>
                      <w:szCs w:val="20"/>
                      <w:highlight w:val="white"/>
                    </w:rPr>
                    <w:t xml:space="preserve"> регистрационный номер выпуска 4B02-01-65105-D-002P, дата регистрации 09.07.2020, международный код (номер) идентификации ценных бумаг (ISIN): RU000A101WR0, международный код классификации финансовых инструментов (CFI): DBVUFB (далее – Биржевые облигации).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b/>
                      <w:bCs/>
                      <w:i w:val="0"/>
                      <w:iCs w:val="0"/>
                      <w:sz w:val="20"/>
                      <w:szCs w:val="20"/>
                      <w:highlight w:val="white"/>
                    </w:rPr>
                  </w:r>
                </w:p>
                <w:p>
                  <w:pPr>
                    <w:ind w:left="57" w:right="57"/>
                    <w:jc w:val="both"/>
                    <w:spacing w:before="0" w:beforeAutospacing="0"/>
                    <w:tabs>
                      <w:tab w:val="left" w:pos="10472" w:leader="none"/>
                    </w:tabs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2.2. К</w:t>
                  </w: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оличество облигаций эмитента, которые были погашены:</w:t>
                  </w: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 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5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 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0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0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0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 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0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0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0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 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(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П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я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т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ь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 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м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и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л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л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и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о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н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о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в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)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 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ш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т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у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к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.</w:t>
                  </w:r>
                  <w:r>
                    <w:rPr>
                      <w:b/>
                      <w:bCs/>
                    </w:rPr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</w:r>
                </w:p>
                <w:p>
                  <w:pPr>
                    <w:ind w:left="57" w:right="57"/>
                    <w:jc w:val="both"/>
                    <w:spacing w:before="0" w:beforeAutospacing="0"/>
                    <w:tabs>
                      <w:tab w:val="left" w:pos="10472" w:leader="none"/>
                    </w:tabs>
                    <w:rPr>
                      <w:rFonts w:ascii="Liberation Serif" w:hAnsi="Liberation Serif" w:eastAsia="Liberation Serif" w:cs="Liberation Serif"/>
                      <w:b/>
                      <w:bCs/>
                      <w:sz w:val="20"/>
                      <w:szCs w:val="20"/>
                      <w:highlight w:val="none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  <w:highlight w:val="white"/>
                    </w:rPr>
                    <w:t xml:space="preserve">2.3. </w:t>
                  </w:r>
                  <w:r>
                    <w:rPr>
                      <w:rFonts w:ascii="Liberation Serif" w:hAnsi="Liberation Serif" w:eastAsia="Liberation Serif" w:cs="Liberation Serif"/>
                      <w:sz w:val="20"/>
                      <w:szCs w:val="20"/>
                      <w:highlight w:val="white"/>
                    </w:rPr>
                    <w:t xml:space="preserve">Основание для погашения облигаций эмитента: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sz w:val="20"/>
                      <w:szCs w:val="20"/>
                      <w:highlight w:val="white"/>
                    </w:rPr>
                    <w:t xml:space="preserve"> 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u w:val="none"/>
                    </w:rPr>
                    <w:t xml:space="preserve">наступление срока погашения Биржевых облигаций и исполнение эмитентом обязательств перед владельцами Облигаций в соответствии с Решением о выпуске ценных бумаг.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sz w:val="20"/>
                      <w:szCs w:val="20"/>
                      <w:highlight w:val="none"/>
                    </w:rPr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ind w:left="57" w:right="57"/>
                    <w:jc w:val="both"/>
                    <w:spacing w:before="0" w:beforeAutospacing="0"/>
                    <w:tabs>
                      <w:tab w:val="left" w:pos="10472" w:leader="none"/>
                    </w:tabs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  <w:highlight w:val="white"/>
                    </w:rPr>
                    <w:suppressLineNumbers w:val="0"/>
                  </w:pP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2.4. </w:t>
                  </w: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Дата </w:t>
                  </w: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погашения</w:t>
                  </w: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 </w:t>
                  </w: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облигаций</w:t>
                  </w: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 или иных ценных бумаг эмитента (дата внесения по эмиссионному счету в реестре владельцев ценных бумаг (эмиссионному счету депо) эмитента записи о </w:t>
                  </w: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погашении</w:t>
                  </w: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 (списании погашаемых) </w:t>
                  </w: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облигаций</w:t>
                  </w:r>
                  <w:r>
                    <w:rPr>
                      <w:rFonts w:ascii="Liberation Serif" w:hAnsi="Liberation Serif" w:eastAsia="Liberation Serif" w:cs="Liberation Serif"/>
                      <w:color w:val="000000"/>
                      <w:sz w:val="20"/>
                      <w:szCs w:val="20"/>
                      <w:highlight w:val="white"/>
                    </w:rPr>
                    <w:t xml:space="preserve"> или иных ценных бумаг эмитента): </w:t>
                  </w:r>
                  <w:r>
                    <w:rPr>
                      <w:rFonts w:ascii="Liberation Serif" w:hAnsi="Liberation Serif" w:eastAsia="Liberation Serif" w:cs="Liberation Serif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08.07.2026.</w:t>
                  </w:r>
                  <w:r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b/>
                      <w:bCs/>
                      <w:sz w:val="20"/>
                      <w:szCs w:val="20"/>
                      <w:highlight w:val="white"/>
                    </w:rPr>
                  </w:r>
                </w:p>
              </w:tc>
            </w:tr>
          </w:tbl>
          <w:p>
            <w:pPr>
              <w:ind w:left="0" w:right="0" w:firstLine="0"/>
              <w:jc w:val="both"/>
              <w:spacing w:line="240" w:lineRule="auto"/>
              <w:shd w:val="clear" w:color="ffffff" w:fill="ffffff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color w:val="000000"/>
                <w:sz w:val="18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none"/>
              </w:rPr>
            </w:r>
            <w:r/>
          </w:p>
        </w:tc>
      </w:tr>
    </w:tbl>
    <w:p>
      <w:pPr>
        <w:jc w:val="center"/>
        <w:rPr>
          <w:rFonts w:ascii="Liberation Serif" w:hAnsi="Liberation Serif" w:cs="Liberation Serif"/>
          <w:b/>
          <w:bCs/>
          <w:sz w:val="20"/>
          <w:szCs w:val="20"/>
          <w:highlight w:val="none"/>
        </w:rPr>
      </w:pP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</w: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0"/>
          <w:szCs w:val="20"/>
          <w:highlight w:val="none"/>
        </w:rPr>
      </w:r>
      <w:r>
        <w:rPr>
          <w:rFonts w:ascii="Liberation Serif" w:hAnsi="Liberation Serif" w:eastAsia="Liberation Serif" w:cs="Liberation Serif"/>
          <w:b/>
          <w:bCs/>
          <w:sz w:val="20"/>
          <w:szCs w:val="20"/>
          <w:highlight w:val="none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0"/>
          <w:szCs w:val="20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0"/>
          <w:szCs w:val="20"/>
        </w:rPr>
      </w:r>
      <w:r>
        <w:rPr>
          <w:rFonts w:ascii="Liberation Serif" w:hAnsi="Liberation Serif" w:cs="Liberation Serif"/>
          <w:b/>
          <w:bCs/>
          <w:sz w:val="20"/>
          <w:szCs w:val="20"/>
        </w:rPr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tbl>
      <w:tblPr>
        <w:tblW w:w="10630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5"/>
        <w:gridCol w:w="505"/>
        <w:gridCol w:w="57"/>
        <w:gridCol w:w="1151"/>
        <w:gridCol w:w="532"/>
        <w:gridCol w:w="561"/>
        <w:gridCol w:w="979"/>
        <w:gridCol w:w="56"/>
        <w:gridCol w:w="1158"/>
        <w:gridCol w:w="56"/>
        <w:gridCol w:w="456"/>
        <w:gridCol w:w="3038"/>
        <w:gridCol w:w="675"/>
      </w:tblGrid>
      <w:tr>
        <w:tblPrEx/>
        <w:trPr>
          <w:cantSplit/>
          <w:trHeight w:val="248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3. Подпись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cantSplit/>
          <w:trHeight w:val="96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Style w:val="852"/>
              <w:ind w:left="0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  <w:t xml:space="preserve">3.1.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78/362-н/78-2025-3-1278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10.12.2025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726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038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  <w:t xml:space="preserve">Е.Н. Егорова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675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gridSpan w:val="4"/>
            <w:tcW w:w="1726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</w:tcBorders>
            <w:tcW w:w="1405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3.2. Дата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505" w:type="dxa"/>
            <w:vAlign w:val="bottom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09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июля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532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561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W w:w="1035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W w:w="1214" w:type="dxa"/>
            <w:vAlign w:val="bottom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4169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214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000000" w:sz="4" w:space="0"/>
              <w:right w:val="single" w:color="000000" w:sz="4" w:space="0"/>
            </w:tcBorders>
            <w:tcW w:w="4225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ind w:left="113" w:right="113"/>
        <w:rPr>
          <w:rFonts w:ascii="Liberation Serif" w:hAnsi="Liberation Serif" w:cs="Liberation Serif"/>
          <w:sz w:val="20"/>
          <w:szCs w:val="20"/>
        </w:rPr>
        <w:suppressLineNumbers w:val="0"/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sectPr>
      <w:footnotePr/>
      <w:endnotePr/>
      <w:type w:val="nextPage"/>
      <w:pgSz w:w="11906" w:h="16838" w:orient="portrait"/>
      <w:pgMar w:top="567" w:right="851" w:bottom="567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enQuanYi Micro Hei">
    <w:panose1 w:val="020B0604020202020204"/>
  </w:font>
  <w:font w:name="Lohit Devanagari">
    <w:panose1 w:val="020B0604020202020204"/>
  </w:font>
  <w:font w:name="Open Sans">
    <w:panose1 w:val="020B06060305040202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0"/>
    <w:link w:val="845"/>
    <w:uiPriority w:val="99"/>
  </w:style>
  <w:style w:type="character" w:styleId="683">
    <w:name w:val="Footer Char"/>
    <w:basedOn w:val="830"/>
    <w:link w:val="846"/>
    <w:uiPriority w:val="99"/>
  </w:style>
  <w:style w:type="character" w:styleId="684">
    <w:name w:val="Caption Char"/>
    <w:basedOn w:val="830"/>
    <w:link w:val="842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rPr>
      <w:rFonts w:ascii="Times New Roman" w:hAnsi="Times New Roman"/>
      <w:sz w:val="20"/>
      <w:szCs w:val="20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Верхний колонтитул Знак"/>
    <w:basedOn w:val="830"/>
    <w:link w:val="845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834">
    <w:name w:val="annotation reference"/>
    <w:basedOn w:val="830"/>
    <w:uiPriority w:val="99"/>
    <w:semiHidden/>
    <w:unhideWhenUsed/>
    <w:qFormat/>
    <w:rPr>
      <w:sz w:val="16"/>
      <w:szCs w:val="16"/>
    </w:rPr>
  </w:style>
  <w:style w:type="character" w:styleId="835" w:customStyle="1">
    <w:name w:val="Нижний колонтитул Знак"/>
    <w:basedOn w:val="830"/>
    <w:link w:val="846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836" w:customStyle="1">
    <w:name w:val="Текст примечания Знак"/>
    <w:basedOn w:val="830"/>
    <w:link w:val="847"/>
    <w:uiPriority w:val="99"/>
    <w:semiHidden/>
    <w:qFormat/>
    <w:rPr>
      <w:rFonts w:ascii="Times New Roman" w:hAnsi="Times New Roman"/>
      <w:sz w:val="20"/>
      <w:szCs w:val="20"/>
    </w:rPr>
  </w:style>
  <w:style w:type="character" w:styleId="837" w:customStyle="1">
    <w:name w:val="Тема примечания Знак"/>
    <w:basedOn w:val="836"/>
    <w:link w:val="848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styleId="838" w:customStyle="1">
    <w:name w:val="Текст выноски Знак"/>
    <w:basedOn w:val="830"/>
    <w:link w:val="849"/>
    <w:uiPriority w:val="99"/>
    <w:semiHidden/>
    <w:qFormat/>
    <w:rPr>
      <w:rFonts w:ascii="Tahoma" w:hAnsi="Tahoma" w:cs="Tahoma"/>
      <w:sz w:val="16"/>
      <w:szCs w:val="16"/>
    </w:rPr>
  </w:style>
  <w:style w:type="paragraph" w:styleId="839" w:customStyle="1">
    <w:name w:val="Заголовок"/>
    <w:basedOn w:val="829"/>
    <w:next w:val="840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840">
    <w:name w:val="Body Text"/>
    <w:basedOn w:val="829"/>
    <w:pPr>
      <w:spacing w:after="140" w:line="276" w:lineRule="auto"/>
    </w:pPr>
  </w:style>
  <w:style w:type="paragraph" w:styleId="841">
    <w:name w:val="List"/>
    <w:basedOn w:val="840"/>
    <w:rPr>
      <w:rFonts w:cs="Lohit Devanagari"/>
    </w:rPr>
  </w:style>
  <w:style w:type="paragraph" w:styleId="842">
    <w:name w:val="Caption"/>
    <w:basedOn w:val="829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43">
    <w:name w:val="index heading"/>
    <w:basedOn w:val="829"/>
    <w:qFormat/>
    <w:pPr>
      <w:suppressLineNumbers/>
    </w:pPr>
    <w:rPr>
      <w:rFonts w:cs="Lohit Devanagari"/>
    </w:rPr>
  </w:style>
  <w:style w:type="paragraph" w:styleId="844" w:customStyle="1">
    <w:name w:val="Колонтитул"/>
    <w:basedOn w:val="829"/>
    <w:qFormat/>
  </w:style>
  <w:style w:type="paragraph" w:styleId="845">
    <w:name w:val="Header"/>
    <w:basedOn w:val="829"/>
    <w:link w:val="833"/>
    <w:uiPriority w:val="99"/>
    <w:pPr>
      <w:tabs>
        <w:tab w:val="center" w:pos="4153" w:leader="none"/>
        <w:tab w:val="right" w:pos="8306" w:leader="none"/>
      </w:tabs>
    </w:pPr>
  </w:style>
  <w:style w:type="paragraph" w:styleId="846">
    <w:name w:val="Footer"/>
    <w:basedOn w:val="829"/>
    <w:link w:val="835"/>
    <w:uiPriority w:val="99"/>
    <w:pPr>
      <w:tabs>
        <w:tab w:val="center" w:pos="4153" w:leader="none"/>
        <w:tab w:val="right" w:pos="8306" w:leader="none"/>
      </w:tabs>
    </w:pPr>
  </w:style>
  <w:style w:type="paragraph" w:styleId="847">
    <w:name w:val="annotation text"/>
    <w:basedOn w:val="829"/>
    <w:link w:val="836"/>
    <w:uiPriority w:val="99"/>
    <w:semiHidden/>
    <w:unhideWhenUsed/>
    <w:qFormat/>
  </w:style>
  <w:style w:type="paragraph" w:styleId="848">
    <w:name w:val="annotation subject"/>
    <w:basedOn w:val="847"/>
    <w:next w:val="847"/>
    <w:link w:val="837"/>
    <w:uiPriority w:val="99"/>
    <w:semiHidden/>
    <w:unhideWhenUsed/>
    <w:qFormat/>
    <w:rPr>
      <w:b/>
      <w:bCs/>
    </w:rPr>
  </w:style>
  <w:style w:type="paragraph" w:styleId="849">
    <w:name w:val="Balloon Text"/>
    <w:basedOn w:val="829"/>
    <w:link w:val="83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50">
    <w:name w:val="List Paragraph"/>
    <w:basedOn w:val="829"/>
    <w:uiPriority w:val="34"/>
    <w:qFormat/>
    <w:pPr>
      <w:contextualSpacing/>
      <w:ind w:left="720"/>
    </w:pPr>
  </w:style>
  <w:style w:type="character" w:styleId="851" w:customStyle="1">
    <w:name w:val="docdata"/>
    <w:basedOn w:val="830"/>
  </w:style>
  <w:style w:type="paragraph" w:styleId="852">
    <w:name w:val="No Spacing"/>
    <w:uiPriority w:val="1"/>
    <w:qFormat/>
    <w:rPr>
      <w:rFonts w:ascii="Times New Roman" w:hAnsi="Times New Roman" w:eastAsia="WenQuanYi Micro Hei" w:cs="Lohit Devanagari"/>
      <w:sz w:val="20"/>
      <w:szCs w:val="20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e-disclosure.ru/portal/event.aspx?EventId=dAnEEacc4UaCGgnpoeb3cQ-B-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>КонсультантПлюс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dc:language>ru-RU</dc:language>
  <cp:lastModifiedBy>golubeva.valentina</cp:lastModifiedBy>
  <cp:revision>10</cp:revision>
  <dcterms:created xsi:type="dcterms:W3CDTF">2025-07-09T11:49:00Z</dcterms:created>
  <dcterms:modified xsi:type="dcterms:W3CDTF">2026-07-09T07:35:03Z</dcterms:modified>
</cp:coreProperties>
</file>