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rPr>
          <w:b/>
          <w:bCs/>
          <w:sz w:val="22"/>
          <w:szCs w:val="22"/>
        </w:rPr>
        <w:outlineLvl w:val="0"/>
      </w:pPr>
      <w:r>
        <w:rPr>
          <w:b/>
          <w:bCs/>
          <w:sz w:val="22"/>
          <w:szCs w:val="22"/>
        </w:rPr>
      </w:r>
      <w:r/>
    </w:p>
    <w:p>
      <w:pPr>
        <w:ind w:firstLine="540"/>
        <w:jc w:val="center"/>
        <w:rPr>
          <w:b/>
          <w:bCs/>
          <w:sz w:val="22"/>
          <w:szCs w:val="22"/>
        </w:rPr>
        <w:outlineLvl w:val="0"/>
      </w:pPr>
      <w:r>
        <w:rPr>
          <w:b/>
          <w:bCs/>
          <w:sz w:val="22"/>
          <w:szCs w:val="22"/>
        </w:rPr>
        <w:t xml:space="preserve">Сообщение о существенном факте </w:t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 xml:space="preserve">»</w:t>
      </w:r>
      <w:r/>
    </w:p>
    <w:p>
      <w:pPr>
        <w:ind w:firstLine="540"/>
        <w:jc w:val="center"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</w:r>
      <w:r/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1. Общие сведения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</w:pPr>
            <w:r>
              <w:rPr>
                <w:szCs w:val="22"/>
              </w:rPr>
              <w:t xml:space="preserve">1.2. Адрес эмитента, указанный в едином государственном реестре юридических лиц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</w:r>
            <w:r>
              <w:rPr>
                <w:b/>
                <w:bCs/>
                <w:szCs w:val="22"/>
              </w:rPr>
              <w:t xml:space="preserve">помещ. 36-Н, каб. 701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</w:pPr>
            <w:r>
              <w:rPr>
                <w:szCs w:val="22"/>
              </w:rPr>
              <w:t xml:space="preserve">1.3. Основной государственный регистрационный номер (ОГРН) эмитента (при наличии)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1052600002180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</w:pPr>
            <w:r>
              <w:rPr>
                <w:szCs w:val="22"/>
              </w:rPr>
              <w:t xml:space="preserve">1.4. Идентификационный номер налогоплательщика (ИНН) эмитента (при наличии)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2607018122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</w:pPr>
            <w:r>
              <w:rPr>
                <w:szCs w:val="22"/>
              </w:rPr>
              <w:t xml:space="preserve">1.5. Уникальный код эмитента, присвоенный Банком России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65105-D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r>
              <w:rPr>
                <w:szCs w:val="22"/>
              </w:rPr>
              <w:t xml:space="preserve">1.6. Адрес страницы в сети Интернет, используемой эмитентом для раскрытия информации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right="57"/>
              <w:rPr>
                <w:b/>
                <w:bCs/>
              </w:rPr>
            </w:pPr>
            <w:r/>
            <w:hyperlink r:id="rId10" w:tooltip="https://www.ogk2.ru/" w:history="1">
              <w:r>
                <w:rPr>
                  <w:rStyle w:val="716"/>
                  <w:b/>
                  <w:bCs/>
                  <w:color w:val="auto"/>
                  <w:szCs w:val="22"/>
                </w:rPr>
                <w:t xml:space="preserve">https://www.ogk2.ru</w:t>
              </w:r>
            </w:hyperlink>
            <w:r/>
            <w:r/>
          </w:p>
          <w:p>
            <w:pPr>
              <w:ind w:right="85"/>
              <w:rPr>
                <w:b/>
                <w:bCs/>
              </w:rPr>
            </w:pPr>
            <w:r/>
            <w:hyperlink r:id="rId11" w:tooltip="https://www.e-disclosure.ru/portal/company.aspx?id=7234" w:history="1">
              <w:r>
                <w:rPr>
                  <w:rStyle w:val="716"/>
                  <w:b/>
                  <w:bCs/>
                  <w:color w:val="auto"/>
                  <w:szCs w:val="22"/>
                </w:rPr>
                <w:t xml:space="preserve">https://www.e-disclosure.ru/portal/company.aspx?id=7234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</w:pPr>
            <w:r>
              <w:rPr>
                <w:szCs w:val="22"/>
              </w:rPr>
              <w:t xml:space="preserve">1.7. Дата наступления события (существенного факта), о котором составлено сообщение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02.11.2024</w:t>
            </w:r>
            <w:r/>
          </w:p>
        </w:tc>
      </w:tr>
    </w:tbl>
    <w:p>
      <w:r/>
      <w:r/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6" w:type="dxa"/>
            <w:textDirection w:val="lrTb"/>
            <w:noWrap w:val="false"/>
          </w:tcPr>
          <w:p>
            <w:pPr>
              <w:jc w:val="center"/>
            </w:pPr>
            <w:r>
              <w:t xml:space="preserve">2. Содержание сообщения</w:t>
            </w:r>
            <w:r/>
          </w:p>
        </w:tc>
      </w:tr>
      <w:tr>
        <w:trPr>
          <w:trHeight w:val="14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6" w:type="dxa"/>
            <w:textDirection w:val="lrTb"/>
            <w:noWrap w:val="false"/>
          </w:tcPr>
          <w:p>
            <w:pPr>
              <w:ind w:left="-28" w:right="57"/>
              <w:jc w:val="both"/>
              <w:rPr>
                <w:color w:val="000000"/>
              </w:rPr>
            </w:pPr>
            <w:r>
              <w:t xml:space="preserve">2.1. Д</w:t>
            </w:r>
            <w:r>
              <w:rPr>
                <w:color w:val="000000"/>
              </w:rPr>
              <w:t xml:space="preserve">ата принятия </w:t>
            </w:r>
            <w:r>
              <w:rPr>
                <w:color w:val="000000"/>
              </w:rPr>
              <w:t xml:space="preserve">Председателем </w:t>
            </w:r>
            <w:r>
              <w:rPr>
                <w:color w:val="000000"/>
              </w:rPr>
              <w:t xml:space="preserve">совета директоров эмитента решения о проведении заседания совета директоров эмитента: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02.11.2024</w:t>
            </w:r>
            <w:r>
              <w:rPr>
                <w:b/>
              </w:rPr>
              <w:t xml:space="preserve">.</w:t>
            </w:r>
            <w:r/>
          </w:p>
          <w:p>
            <w:pPr>
              <w:ind w:left="-28" w:right="57"/>
              <w:jc w:val="both"/>
              <w:rPr>
                <w:b/>
              </w:rPr>
            </w:pPr>
            <w:r>
              <w:rPr>
                <w:color w:val="000000"/>
              </w:rPr>
              <w:t xml:space="preserve">2.2. Дата проведения заседания совета директоров эмитента</w:t>
            </w:r>
            <w:r>
              <w:rPr>
                <w:b/>
              </w:rPr>
              <w:t xml:space="preserve">:</w:t>
            </w:r>
            <w:r>
              <w:rPr>
                <w:b/>
              </w:rPr>
              <w:t xml:space="preserve">07.11.</w:t>
            </w:r>
            <w:r>
              <w:rPr>
                <w:b/>
              </w:rPr>
              <w:t xml:space="preserve">2024.</w:t>
            </w:r>
            <w:r/>
          </w:p>
          <w:p>
            <w:pPr>
              <w:ind w:left="-28" w:right="57"/>
              <w:jc w:val="both"/>
              <w:rPr>
                <w:b/>
                <w:color w:val="000000"/>
              </w:rPr>
            </w:pPr>
            <w:r>
              <w:t xml:space="preserve">2.3.  </w:t>
            </w:r>
            <w:r>
              <w:rPr>
                <w:color w:val="000000"/>
              </w:rPr>
              <w:t xml:space="preserve">Повестка дня заседания совета директоров эмитента:</w:t>
            </w:r>
            <w:r/>
          </w:p>
          <w:p>
            <w:pPr>
              <w:ind w:left="-28" w:right="57"/>
              <w:jc w:val="both"/>
              <w:rPr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  <w:t xml:space="preserve"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Об определении закупочной политики в Обществе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pacing w:before="20" w:after="2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Об одобрении сделок (включая несколько взаимосвязанных сделок), предметом которых является имущество, работы и (или) услуги, стоимость (денежная оценка) которых составляет от 10 до 25 процентов балансовой стоимости активов Общества, определенной на основан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ии данных бухгалтерской (финансовой) отчетности за последний отчетный период, предшествующий дню принятия решения о совершении таких сделок.</w:t>
            </w:r>
            <w:r>
              <w:rPr>
                <w:sz w:val="20"/>
                <w:szCs w:val="20"/>
              </w:rPr>
            </w:r>
          </w:p>
          <w:p>
            <w:pPr>
              <w:ind w:left="-28" w:right="57"/>
              <w:jc w:val="both"/>
              <w:rPr>
                <w:b/>
                <w:b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>
        <w:trPr>
          <w:cantSplit/>
          <w:trHeight w:val="248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3" w:type="dxa"/>
            <w:textDirection w:val="lrTb"/>
            <w:noWrap w:val="false"/>
          </w:tcPr>
          <w:p>
            <w:pPr>
              <w:jc w:val="center"/>
            </w:pPr>
            <w:r>
              <w:t xml:space="preserve">3. Подпись</w:t>
            </w:r>
            <w:r/>
          </w:p>
        </w:tc>
      </w:tr>
      <w:tr>
        <w:trPr>
          <w:cantSplit/>
          <w:trHeight w:val="85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pStyle w:val="730"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 xml:space="preserve">Начальник Управления корпоративных и имущественных отношений</w:t>
            </w:r>
            <w:r>
              <w:rPr>
                <w:rFonts w:eastAsia="Times New Roman" w:cs="Times New Roman"/>
                <w:b/>
                <w:color w:val="000000"/>
              </w:rPr>
              <w:t xml:space="preserve">, действующий на основании доверенности № </w:t>
            </w:r>
            <w:r>
              <w:rPr>
                <w:rFonts w:eastAsia="Times New Roman" w:cs="Times New Roman"/>
                <w:b/>
                <w:color w:val="000000"/>
              </w:rPr>
              <w:t xml:space="preserve">78/66-н/78-2022-3-513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072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szCs w:val="22"/>
              </w:rPr>
              <w:t xml:space="preserve">Е.Н. Егорова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50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  <w:tc>
          <w:tcPr>
            <w:tcW w:w="307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15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r>
              <w:t xml:space="preserve">3.2. Дата      “</w:t>
            </w:r>
            <w:r/>
          </w:p>
        </w:tc>
        <w:tc>
          <w:tcPr>
            <w:tcBorders>
              <w:bottom w:val="single" w:color="000000" w:sz="4" w:space="0"/>
            </w:tcBorders>
            <w:tcW w:w="35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W w:w="384" w:type="dxa"/>
            <w:vAlign w:val="bottom"/>
            <w:textDirection w:val="lrTb"/>
            <w:noWrap w:val="false"/>
          </w:tcPr>
          <w:p>
            <w: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317" w:type="dxa"/>
            <w:vAlign w:val="bottom"/>
            <w:textDirection w:val="lrTb"/>
            <w:noWrap w:val="false"/>
          </w:tcPr>
          <w:p>
            <w:r>
              <w:t xml:space="preserve"> </w:t>
            </w:r>
            <w:r>
              <w:t xml:space="preserve">нояб</w:t>
            </w:r>
            <w:r>
              <w:t xml:space="preserve">ря</w:t>
            </w:r>
            <w:r/>
          </w:p>
        </w:tc>
        <w:tc>
          <w:tcPr>
            <w:tcW w:w="4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07" w:type="dxa"/>
            <w:vAlign w:val="bottom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W w:w="1209" w:type="dxa"/>
            <w:vAlign w:val="bottom"/>
            <w:textDirection w:val="lrTb"/>
            <w:noWrap w:val="false"/>
          </w:tcPr>
          <w:p>
            <w:r>
              <w:t xml:space="preserve">г.</w:t>
            </w:r>
            <w:r/>
          </w:p>
        </w:tc>
        <w:tc>
          <w:tcPr>
            <w:tcW w:w="133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Borders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gridSpan w:val="7"/>
            <w:tcBorders>
              <w:left w:val="single" w:color="000000" w:sz="4" w:space="0"/>
              <w:bottom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284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Calibri">
    <w:panose1 w:val="020F0502020204030204"/>
  </w:font>
  <w:font w:name="Arial">
    <w:panose1 w:val="020B0604020202020204"/>
  </w:font>
  <w:font w:name="WenQuanYi Micro Hei">
    <w:panose1 w:val="020B0603020201020101"/>
  </w:font>
  <w:font w:name="Courier New">
    <w:panose1 w:val="02070309020205020404"/>
  </w:font>
  <w:font w:name="Lohit Devanagari">
    <w:panose1 w:val="020B060302020102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WenQuanYi Micro Hei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rPr>
      <w:rFonts w:eastAsia="Times New Roman" w:cs="Times New Roman"/>
      <w:lang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7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uiPriority w:val="10"/>
    <w:qFormat/>
    <w:rPr>
      <w:sz w:val="48"/>
      <w:szCs w:val="48"/>
    </w:rPr>
  </w:style>
  <w:style w:type="character" w:styleId="681" w:customStyle="1">
    <w:name w:val="Subtitle Char"/>
    <w:uiPriority w:val="11"/>
    <w:qFormat/>
    <w:rPr>
      <w:sz w:val="24"/>
      <w:szCs w:val="24"/>
    </w:rPr>
  </w:style>
  <w:style w:type="character" w:styleId="682" w:customStyle="1">
    <w:name w:val="Quote Char"/>
    <w:uiPriority w:val="29"/>
    <w:qFormat/>
    <w:rPr>
      <w:i/>
    </w:rPr>
  </w:style>
  <w:style w:type="character" w:styleId="683" w:customStyle="1">
    <w:name w:val="Intense Quote Char"/>
    <w:uiPriority w:val="30"/>
    <w:qFormat/>
    <w:rPr>
      <w:i/>
    </w:rPr>
  </w:style>
  <w:style w:type="character" w:styleId="684" w:customStyle="1">
    <w:name w:val="Header Char"/>
    <w:uiPriority w:val="99"/>
    <w:qFormat/>
  </w:style>
  <w:style w:type="character" w:styleId="685" w:customStyle="1">
    <w:name w:val="Footer Char"/>
    <w:uiPriority w:val="99"/>
    <w:qFormat/>
  </w:style>
  <w:style w:type="character" w:styleId="686" w:customStyle="1">
    <w:name w:val="Caption Char"/>
    <w:uiPriority w:val="99"/>
    <w:qFormat/>
  </w:style>
  <w:style w:type="character" w:styleId="687" w:customStyle="1">
    <w:name w:val="Footnote Text Char"/>
    <w:uiPriority w:val="99"/>
    <w:qFormat/>
    <w:rPr>
      <w:sz w:val="18"/>
    </w:rPr>
  </w:style>
  <w:style w:type="character" w:styleId="688" w:customStyle="1">
    <w:name w:val="Символ сноски"/>
    <w:uiPriority w:val="99"/>
    <w:unhideWhenUsed/>
    <w:qFormat/>
    <w:rPr>
      <w:vertAlign w:val="superscript"/>
    </w:rPr>
  </w:style>
  <w:style w:type="character" w:styleId="689">
    <w:name w:val="footnote reference"/>
    <w:rPr>
      <w:vertAlign w:val="superscript"/>
    </w:rPr>
  </w:style>
  <w:style w:type="character" w:styleId="690" w:customStyle="1">
    <w:name w:val="Endnote Text Char"/>
    <w:uiPriority w:val="99"/>
    <w:qFormat/>
    <w:rPr>
      <w:sz w:val="20"/>
    </w:rPr>
  </w:style>
  <w:style w:type="character" w:styleId="69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2">
    <w:name w:val="endnote reference"/>
    <w:rPr>
      <w:vertAlign w:val="superscript"/>
    </w:rPr>
  </w:style>
  <w:style w:type="character" w:styleId="693" w:customStyle="1">
    <w:name w:val="WW8Num3z0"/>
    <w:qFormat/>
  </w:style>
  <w:style w:type="character" w:styleId="694" w:customStyle="1">
    <w:name w:val="WW8Num6z0"/>
    <w:qFormat/>
    <w:rPr>
      <w:rFonts w:ascii="Times New Roman" w:hAnsi="Times New Roman" w:eastAsia="Times New Roman" w:cs="Times New Roman"/>
    </w:rPr>
  </w:style>
  <w:style w:type="character" w:styleId="695" w:customStyle="1">
    <w:name w:val="WW8Num6z1"/>
    <w:qFormat/>
  </w:style>
  <w:style w:type="character" w:styleId="696" w:customStyle="1">
    <w:name w:val="WW8Num7z1"/>
    <w:qFormat/>
  </w:style>
  <w:style w:type="character" w:styleId="697" w:customStyle="1">
    <w:name w:val="WW8Num8z0"/>
    <w:qFormat/>
  </w:style>
  <w:style w:type="character" w:styleId="698" w:customStyle="1">
    <w:name w:val="WW8Num11z0"/>
    <w:qFormat/>
  </w:style>
  <w:style w:type="character" w:styleId="699" w:customStyle="1">
    <w:name w:val="WW8Num13z0"/>
    <w:qFormat/>
  </w:style>
  <w:style w:type="character" w:styleId="700" w:customStyle="1">
    <w:name w:val="WW8Num14z0"/>
    <w:qFormat/>
  </w:style>
  <w:style w:type="character" w:styleId="701" w:customStyle="1">
    <w:name w:val="WW8Num15z0"/>
    <w:qFormat/>
  </w:style>
  <w:style w:type="character" w:styleId="702" w:customStyle="1">
    <w:name w:val="WW8Num16z0"/>
    <w:qFormat/>
  </w:style>
  <w:style w:type="character" w:styleId="703" w:customStyle="1">
    <w:name w:val="WW8Num17z0"/>
    <w:qFormat/>
  </w:style>
  <w:style w:type="character" w:styleId="704" w:customStyle="1">
    <w:name w:val="WW8Num17z2"/>
    <w:qFormat/>
  </w:style>
  <w:style w:type="character" w:styleId="705" w:customStyle="1">
    <w:name w:val="WW8Num18z0"/>
    <w:qFormat/>
    <w:rPr>
      <w:color w:val="000000"/>
    </w:rPr>
  </w:style>
  <w:style w:type="character" w:styleId="706" w:customStyle="1">
    <w:name w:val="WW8Num20z0"/>
    <w:qFormat/>
  </w:style>
  <w:style w:type="character" w:styleId="707" w:customStyle="1">
    <w:name w:val="WW8Num23z0"/>
    <w:qFormat/>
  </w:style>
  <w:style w:type="character" w:styleId="708" w:customStyle="1">
    <w:name w:val="WW8Num23z1"/>
    <w:qFormat/>
    <w:rPr>
      <w:sz w:val="26"/>
      <w:szCs w:val="26"/>
    </w:rPr>
  </w:style>
  <w:style w:type="character" w:styleId="709" w:customStyle="1">
    <w:name w:val="WW8Num23z2"/>
    <w:qFormat/>
  </w:style>
  <w:style w:type="character" w:styleId="710" w:customStyle="1">
    <w:name w:val="WW8Num24z0"/>
    <w:qFormat/>
  </w:style>
  <w:style w:type="character" w:styleId="711" w:customStyle="1">
    <w:name w:val="WW8Num25z0"/>
    <w:qFormat/>
  </w:style>
  <w:style w:type="character" w:styleId="712" w:customStyle="1">
    <w:name w:val="WW8Num25z1"/>
    <w:qFormat/>
  </w:style>
  <w:style w:type="character" w:styleId="713" w:customStyle="1">
    <w:name w:val="WW8Num26z0"/>
    <w:qFormat/>
  </w:style>
  <w:style w:type="character" w:styleId="714" w:customStyle="1">
    <w:name w:val="WW8Num27z0"/>
    <w:qFormat/>
    <w:rPr>
      <w:color w:val="000000"/>
    </w:rPr>
  </w:style>
  <w:style w:type="character" w:styleId="715">
    <w:name w:val="page number"/>
    <w:basedOn w:val="668"/>
  </w:style>
  <w:style w:type="character" w:styleId="716">
    <w:name w:val="Hyperlink"/>
    <w:rPr>
      <w:color w:val="0000ff"/>
      <w:u w:val="single"/>
    </w:rPr>
  </w:style>
  <w:style w:type="character" w:styleId="717" w:customStyle="1">
    <w:name w:val="Основной текст с отступом 2 Знак"/>
    <w:qFormat/>
    <w:rPr>
      <w:sz w:val="28"/>
      <w:szCs w:val="24"/>
    </w:rPr>
  </w:style>
  <w:style w:type="character" w:styleId="718" w:customStyle="1">
    <w:name w:val="Стандартный HTML Знак"/>
    <w:qFormat/>
    <w:rPr>
      <w:rFonts w:ascii="Courier New" w:hAnsi="Courier New" w:cs="Courier New"/>
    </w:rPr>
  </w:style>
  <w:style w:type="character" w:styleId="719" w:customStyle="1">
    <w:name w:val="Обычный (веб) Знак"/>
    <w:qFormat/>
    <w:rPr>
      <w:rFonts w:eastAsia="Calibri"/>
      <w:sz w:val="24"/>
      <w:szCs w:val="24"/>
      <w:lang w:val="en-GB"/>
    </w:rPr>
  </w:style>
  <w:style w:type="character" w:styleId="720">
    <w:name w:val="Strong"/>
    <w:qFormat/>
    <w:rPr>
      <w:b/>
      <w:bCs/>
    </w:rPr>
  </w:style>
  <w:style w:type="character" w:styleId="721" w:customStyle="1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722">
    <w:name w:val="FollowedHyperlink"/>
    <w:rPr>
      <w:color w:val="954f72"/>
      <w:u w:val="single"/>
    </w:rPr>
  </w:style>
  <w:style w:type="character" w:styleId="723" w:customStyle="1">
    <w:name w:val="Символ нумерации"/>
    <w:qFormat/>
  </w:style>
  <w:style w:type="paragraph" w:styleId="724" w:customStyle="1">
    <w:name w:val="Заголовок"/>
    <w:basedOn w:val="658"/>
    <w:next w:val="725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25">
    <w:name w:val="Body Text"/>
    <w:basedOn w:val="658"/>
    <w:pPr>
      <w:spacing w:after="140" w:line="276" w:lineRule="auto"/>
    </w:pPr>
  </w:style>
  <w:style w:type="paragraph" w:styleId="726">
    <w:name w:val="List"/>
    <w:basedOn w:val="725"/>
    <w:rPr>
      <w:rFonts w:cs="Lohit Devanagari"/>
    </w:rPr>
  </w:style>
  <w:style w:type="paragraph" w:styleId="727">
    <w:name w:val="Caption"/>
    <w:basedOn w:val="65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28">
    <w:name w:val="index heading"/>
    <w:basedOn w:val="724"/>
  </w:style>
  <w:style w:type="paragraph" w:styleId="729">
    <w:name w:val="List Paragraph"/>
    <w:basedOn w:val="658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2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33">
    <w:name w:val="Quote"/>
    <w:basedOn w:val="658"/>
    <w:uiPriority w:val="29"/>
    <w:qFormat/>
    <w:pPr>
      <w:ind w:left="720" w:right="720"/>
    </w:pPr>
    <w:rPr>
      <w:i/>
    </w:rPr>
  </w:style>
  <w:style w:type="paragraph" w:styleId="734">
    <w:name w:val="Intense Quote"/>
    <w:basedOn w:val="6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 w:customStyle="1">
    <w:name w:val="Колонтитул"/>
    <w:basedOn w:val="6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36">
    <w:name w:val="Footer"/>
    <w:basedOn w:val="65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7">
    <w:name w:val="footnote text"/>
    <w:basedOn w:val="658"/>
    <w:uiPriority w:val="99"/>
    <w:semiHidden/>
    <w:unhideWhenUsed/>
    <w:pPr>
      <w:spacing w:after="40"/>
    </w:pPr>
    <w:rPr>
      <w:sz w:val="18"/>
    </w:rPr>
  </w:style>
  <w:style w:type="paragraph" w:styleId="738">
    <w:name w:val="endnote text"/>
    <w:basedOn w:val="658"/>
    <w:uiPriority w:val="99"/>
    <w:semiHidden/>
    <w:unhideWhenUsed/>
  </w:style>
  <w:style w:type="paragraph" w:styleId="739">
    <w:name w:val="toc 1"/>
    <w:basedOn w:val="658"/>
    <w:uiPriority w:val="39"/>
    <w:unhideWhenUsed/>
    <w:pPr>
      <w:spacing w:after="57"/>
    </w:pPr>
  </w:style>
  <w:style w:type="paragraph" w:styleId="740">
    <w:name w:val="toc 2"/>
    <w:basedOn w:val="658"/>
    <w:uiPriority w:val="39"/>
    <w:unhideWhenUsed/>
    <w:pPr>
      <w:ind w:left="283"/>
      <w:spacing w:after="57"/>
    </w:pPr>
  </w:style>
  <w:style w:type="paragraph" w:styleId="741">
    <w:name w:val="toc 3"/>
    <w:basedOn w:val="658"/>
    <w:uiPriority w:val="39"/>
    <w:unhideWhenUsed/>
    <w:pPr>
      <w:ind w:left="567"/>
      <w:spacing w:after="57"/>
    </w:pPr>
  </w:style>
  <w:style w:type="paragraph" w:styleId="742">
    <w:name w:val="toc 4"/>
    <w:basedOn w:val="658"/>
    <w:uiPriority w:val="39"/>
    <w:unhideWhenUsed/>
    <w:pPr>
      <w:ind w:left="850"/>
      <w:spacing w:after="57"/>
    </w:pPr>
  </w:style>
  <w:style w:type="paragraph" w:styleId="743">
    <w:name w:val="toc 5"/>
    <w:basedOn w:val="658"/>
    <w:uiPriority w:val="39"/>
    <w:unhideWhenUsed/>
    <w:pPr>
      <w:ind w:left="1134"/>
      <w:spacing w:after="57"/>
    </w:pPr>
  </w:style>
  <w:style w:type="paragraph" w:styleId="744">
    <w:name w:val="toc 6"/>
    <w:basedOn w:val="658"/>
    <w:uiPriority w:val="39"/>
    <w:unhideWhenUsed/>
    <w:pPr>
      <w:ind w:left="1417"/>
      <w:spacing w:after="57"/>
    </w:pPr>
  </w:style>
  <w:style w:type="paragraph" w:styleId="745">
    <w:name w:val="toc 7"/>
    <w:basedOn w:val="658"/>
    <w:uiPriority w:val="39"/>
    <w:unhideWhenUsed/>
    <w:pPr>
      <w:ind w:left="1701"/>
      <w:spacing w:after="57"/>
    </w:pPr>
  </w:style>
  <w:style w:type="paragraph" w:styleId="746">
    <w:name w:val="toc 8"/>
    <w:basedOn w:val="658"/>
    <w:uiPriority w:val="39"/>
    <w:unhideWhenUsed/>
    <w:pPr>
      <w:ind w:left="1984"/>
      <w:spacing w:after="57"/>
    </w:pPr>
  </w:style>
  <w:style w:type="paragraph" w:styleId="747">
    <w:name w:val="toc 9"/>
    <w:basedOn w:val="658"/>
    <w:uiPriority w:val="39"/>
    <w:unhideWhenUsed/>
    <w:pPr>
      <w:ind w:left="2268"/>
      <w:spacing w:after="57"/>
    </w:pPr>
  </w:style>
  <w:style w:type="paragraph" w:styleId="748">
    <w:name w:val="TOC Heading"/>
    <w:uiPriority w:val="39"/>
    <w:unhideWhenUsed/>
    <w:qFormat/>
  </w:style>
  <w:style w:type="paragraph" w:styleId="749">
    <w:name w:val="table of figures"/>
    <w:basedOn w:val="658"/>
    <w:uiPriority w:val="99"/>
    <w:unhideWhenUsed/>
  </w:style>
  <w:style w:type="paragraph" w:styleId="750" w:customStyle="1">
    <w:name w:val="Caption1"/>
    <w:basedOn w:val="65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51">
    <w:name w:val="Header"/>
    <w:basedOn w:val="658"/>
    <w:pPr>
      <w:tabs>
        <w:tab w:val="center" w:pos="4153" w:leader="none"/>
        <w:tab w:val="right" w:pos="8306" w:leader="none"/>
      </w:tabs>
    </w:pPr>
  </w:style>
  <w:style w:type="paragraph" w:styleId="752">
    <w:name w:val="Balloon Text"/>
    <w:basedOn w:val="658"/>
    <w:qFormat/>
    <w:rPr>
      <w:rFonts w:ascii="Tahoma" w:hAnsi="Tahoma" w:cs="Tahoma"/>
      <w:sz w:val="16"/>
      <w:szCs w:val="16"/>
    </w:rPr>
  </w:style>
  <w:style w:type="paragraph" w:styleId="753" w:customStyle="1">
    <w:name w:val="prilozhenie"/>
    <w:basedOn w:val="658"/>
    <w:qFormat/>
    <w:pPr>
      <w:ind w:firstLine="709"/>
      <w:jc w:val="both"/>
    </w:pPr>
    <w:rPr>
      <w:sz w:val="24"/>
      <w:szCs w:val="24"/>
    </w:rPr>
  </w:style>
  <w:style w:type="paragraph" w:styleId="754">
    <w:name w:val="Body Text Indent 2"/>
    <w:basedOn w:val="658"/>
    <w:qFormat/>
    <w:pPr>
      <w:ind w:left="283" w:firstLine="709"/>
      <w:jc w:val="both"/>
      <w:spacing w:after="120" w:line="480" w:lineRule="auto"/>
    </w:pPr>
    <w:rPr>
      <w:sz w:val="28"/>
      <w:szCs w:val="24"/>
    </w:rPr>
  </w:style>
  <w:style w:type="paragraph" w:styleId="755">
    <w:name w:val="HTML Preformatted"/>
    <w:basedOn w:val="658"/>
    <w:qFormat/>
    <w:rPr>
      <w:rFonts w:ascii="Courier New" w:hAnsi="Courier New" w:cs="Courier New"/>
    </w:rPr>
  </w:style>
  <w:style w:type="paragraph" w:styleId="756" w:customStyle="1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757">
    <w:name w:val="Normal (Web)"/>
    <w:basedOn w:val="658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758" w:customStyle="1">
    <w:name w:val="Содержимое таблицы"/>
    <w:basedOn w:val="658"/>
    <w:qFormat/>
    <w:pPr>
      <w:widowControl w:val="off"/>
      <w:suppressLineNumbers/>
    </w:pPr>
  </w:style>
  <w:style w:type="paragraph" w:styleId="759" w:customStyle="1">
    <w:name w:val="Заголовок таблицы"/>
    <w:basedOn w:val="758"/>
    <w:qFormat/>
    <w:pPr>
      <w:jc w:val="center"/>
    </w:pPr>
    <w:rPr>
      <w:b/>
      <w:bCs/>
    </w:rPr>
  </w:style>
  <w:style w:type="paragraph" w:styleId="760" w:customStyle="1">
    <w:name w:val="Содержимое врезки"/>
    <w:basedOn w:val="658"/>
    <w:qFormat/>
  </w:style>
  <w:style w:type="table" w:styleId="76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64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66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7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5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67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68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69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0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1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72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73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4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5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6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7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8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79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887" w:customStyle="1">
    <w:name w:val="Абзац 4"/>
    <w:basedOn w:val="760"/>
    <w:hidden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ogk2.ru/" TargetMode="External"/><Relationship Id="rId11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dc:language>ru-RU</dc:language>
  <cp:revision>3</cp:revision>
  <dcterms:created xsi:type="dcterms:W3CDTF">2024-10-25T07:44:00Z</dcterms:created>
  <dcterms:modified xsi:type="dcterms:W3CDTF">2024-11-02T08:58:14Z</dcterms:modified>
</cp:coreProperties>
</file>