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 xml:space="preserve">Сообщение о существенном факте</w:t>
        <w:br/>
        <w:t xml:space="preserve">«</w:t>
      </w:r>
      <w:r>
        <w:rPr>
          <w:b/>
          <w:color w:val="000000"/>
        </w:rPr>
        <w:t xml:space="preserve">Об отдельных решениях, принятых советом директоров эмитента»</w:t>
      </w:r>
      <w:r/>
    </w:p>
    <w:p>
      <w:pPr>
        <w:pStyle w:val="662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tbl>
      <w:tblPr>
        <w:tblW w:w="10944" w:type="dxa"/>
        <w:tblInd w:w="-147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000" w:firstRow="0" w:lastRow="0" w:firstColumn="0" w:lastColumn="0" w:noHBand="0" w:noVBand="0"/>
      </w:tblPr>
      <w:tblGrid>
        <w:gridCol w:w="5247"/>
        <w:gridCol w:w="5697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4" w:type="dxa"/>
            <w:textDirection w:val="lrTb"/>
            <w:noWrap w:val="false"/>
          </w:tcPr>
          <w:p>
            <w:pPr>
              <w:pStyle w:val="662"/>
              <w:ind w:left="-61"/>
              <w:jc w:val="center"/>
            </w:pPr>
            <w:r>
              <w:t xml:space="preserve">1. Общие сведения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b/>
                <w:bCs/>
              </w:rPr>
            </w:pPr>
            <w:r>
              <w:t xml:space="preserve">1.1. Полное фирменное наименование (для коммерческой организации) или наименование (для некоммерческой организации) эмитента</w:t>
            </w:r>
            <w:r/>
          </w:p>
          <w:p>
            <w:pPr>
              <w:pStyle w:val="662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7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Публичное акционерное общество «Вторая генерирующая компания оптового рынка электроэнергии»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b/>
                <w:bCs/>
              </w:rPr>
            </w:pPr>
            <w:r>
              <w:t xml:space="preserve">1.2. Адрес эмитента, указанный в едином государственном реестре юридических лиц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7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196605, г. Санкт-Петербург, вн.тер.г. поселок Шушары, ш Петербургское, д. 66, к. 1, литера А, этаж 7, помещ. 36-Н, каб. 701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</w:pPr>
            <w:r>
              <w:t xml:space="preserve">1.3. Основной государственный регистрационный номер (ОГРН) эмитента (при наличии)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7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1052600002180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</w:pPr>
            <w:r>
              <w:t xml:space="preserve">1.4. Идентификационный номер налогоплательщика (ИНН) эмитента (при наличии)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7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2607018122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</w:pPr>
            <w:r>
              <w:t xml:space="preserve">1.5. Уникальный код эмитента, присвоенный Банком России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7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65105-D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</w:pPr>
            <w:r>
              <w:t xml:space="preserve">1.6. Адрес страницы в сети Интернет, используемой эмитентом для раскрытия информации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7" w:type="dxa"/>
            <w:textDirection w:val="lrTb"/>
            <w:noWrap w:val="false"/>
          </w:tcPr>
          <w:p>
            <w:pPr>
              <w:pStyle w:val="662"/>
              <w:ind w:right="57"/>
            </w:pPr>
            <w:r/>
            <w:hyperlink r:id="rId12" w:tooltip="https://www.ogk2.ru/" w:history="1">
              <w:r>
                <w:rPr>
                  <w:rStyle w:val="697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https://www.ogk2.ru</w:t>
              </w:r>
            </w:hyperlink>
            <w:r/>
            <w:r/>
          </w:p>
          <w:p>
            <w:pPr>
              <w:pStyle w:val="662"/>
              <w:ind w:right="85"/>
            </w:pPr>
            <w:r/>
            <w:hyperlink r:id="rId13" w:tooltip="https://www.e-disclosure.ru/portal/company.aspx?id=7234" w:history="1">
              <w:r>
                <w:rPr>
                  <w:rStyle w:val="697"/>
                  <w:rFonts w:eastAsia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https://www.e-disclosure.ru/portal/company.aspx?id=7234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</w:pPr>
            <w:r>
              <w:t xml:space="preserve">1.7. Дата наступления события (существенного факта), о котором составлено сообщение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7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12.03.2024</w:t>
            </w:r>
            <w:r/>
          </w:p>
        </w:tc>
      </w:tr>
    </w:tbl>
    <w:p>
      <w:pPr>
        <w:pStyle w:val="662"/>
      </w:pPr>
      <w:r/>
      <w:r/>
    </w:p>
    <w:tbl>
      <w:tblPr>
        <w:tblW w:w="10941" w:type="dxa"/>
        <w:tblInd w:w="-147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000" w:firstRow="0" w:lastRow="0" w:firstColumn="0" w:lastColumn="0" w:noHBand="0" w:noVBand="0"/>
      </w:tblPr>
      <w:tblGrid>
        <w:gridCol w:w="1094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1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t xml:space="preserve">2. Содержание сообщения</w:t>
            </w:r>
            <w:r/>
          </w:p>
        </w:tc>
      </w:tr>
      <w:tr>
        <w:trPr>
          <w:trHeight w:val="21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41" w:type="dxa"/>
            <w:textDirection w:val="lrTb"/>
            <w:noWrap w:val="false"/>
          </w:tcPr>
          <w:p>
            <w:pPr>
              <w:pStyle w:val="662"/>
              <w:jc w:val="both"/>
              <w:rPr>
                <w:rFonts w:eastAsia="Calibri" w:eastAsiaTheme="minorHAnsi"/>
                <w:lang w:eastAsia="en-US"/>
              </w:rPr>
            </w:pPr>
            <w:r>
              <w:t xml:space="preserve">2.1. </w:t>
            </w:r>
            <w:r>
              <w:rPr>
                <w:rFonts w:eastAsia="Calibri" w:eastAsiaTheme="minorHAnsi"/>
                <w:lang w:eastAsia="en-US"/>
              </w:rPr>
              <w:t xml:space="preserve">Сведения о кворуме заседания Совета директоров эмитента:</w:t>
            </w:r>
            <w:r/>
          </w:p>
          <w:p>
            <w:pPr>
              <w:pStyle w:val="662"/>
              <w:ind w:right="57"/>
            </w:pPr>
            <w:r>
              <w:rPr>
                <w:b/>
              </w:rPr>
              <w:t xml:space="preserve">В заочном голосовании приняли участие 10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t xml:space="preserve">.</w:t>
            </w:r>
            <w:r/>
          </w:p>
          <w:p>
            <w:pPr>
              <w:pStyle w:val="662"/>
              <w:ind w:left="-28" w:right="57"/>
              <w:jc w:val="both"/>
              <w:tabs>
                <w:tab w:val="left" w:pos="547" w:leader="none"/>
                <w:tab w:val="clear" w:pos="708" w:leader="none"/>
              </w:tabs>
            </w:pPr>
            <w:r>
              <w:t xml:space="preserve"> 2.2. Содержание решений, принятых советом директоров эмитента:</w:t>
            </w:r>
            <w:r/>
          </w:p>
          <w:p>
            <w:pPr>
              <w:pStyle w:val="662"/>
              <w:ind w:left="121" w:right="57"/>
              <w:jc w:val="both"/>
              <w:tabs>
                <w:tab w:val="left" w:pos="547" w:leader="none"/>
                <w:tab w:val="clear" w:pos="708" w:leader="none"/>
              </w:tabs>
            </w:pPr>
            <w:r/>
            <w:r/>
          </w:p>
          <w:p>
            <w:pPr>
              <w:pStyle w:val="708"/>
              <w:widowControl w:val="off"/>
              <w:rPr>
                <w:b/>
              </w:rPr>
            </w:pPr>
            <w:r>
              <w:rPr>
                <w:b/>
              </w:rPr>
              <w:t xml:space="preserve">Вопрос:</w:t>
            </w:r>
            <w:r/>
          </w:p>
          <w:p>
            <w:pPr>
              <w:pStyle w:val="708"/>
              <w:widowControl w:val="off"/>
              <w:rPr>
                <w:b/>
              </w:rPr>
            </w:pPr>
            <w:r>
              <w:rPr>
                <w:b/>
              </w:rPr>
              <w:t xml:space="preserve">1. Об определении закупочной политики.</w:t>
            </w:r>
            <w:r/>
          </w:p>
          <w:p>
            <w:pPr>
              <w:pStyle w:val="738"/>
              <w:spacing w:before="20" w:after="20"/>
            </w:pPr>
            <w:r>
              <w:rPr>
                <w:b/>
              </w:rPr>
              <w:t xml:space="preserve">1.2. О внесении изменений в Годовую комплексную программу закупок Общества под нужды 2024 года.</w:t>
            </w:r>
            <w:r/>
          </w:p>
          <w:p>
            <w:pPr>
              <w:pStyle w:val="662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  <w:rPr>
                <w:bCs/>
              </w:rPr>
            </w:pPr>
            <w:r>
              <w:rPr>
                <w:bCs/>
              </w:rPr>
              <w:t xml:space="preserve">Результаты голосования: За – 9,  Против – 0, Воздержался – 1, не учитывались при голосовании – 0.</w:t>
            </w:r>
            <w:r/>
          </w:p>
          <w:p>
            <w:pPr>
              <w:pStyle w:val="662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</w:pPr>
            <w:r/>
            <w:r/>
          </w:p>
          <w:p>
            <w:pPr>
              <w:pStyle w:val="735"/>
              <w:rPr>
                <w:b/>
              </w:rPr>
            </w:pPr>
            <w:r>
              <w:rPr>
                <w:b/>
              </w:rPr>
              <w:t xml:space="preserve">Принятое решение:</w:t>
            </w:r>
            <w:r/>
          </w:p>
          <w:p>
            <w:pPr>
              <w:pStyle w:val="738"/>
              <w:spacing w:before="20" w:after="20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Утвердить корректировку Годовой комплексной программы закупок Общества под нужды 2024 года в соответствии с Приложениями №№ 1.2.1, 1.2.2. к решению Совета директоров.</w:t>
            </w:r>
            <w:r/>
          </w:p>
          <w:p>
            <w:pPr>
              <w:pStyle w:val="736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736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 xml:space="preserve">2. Об утверждении бизнес-плана ПАО «ОГК-2» на 2024 год и ключевых показателей деятельности на 2024 год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.</w:t>
            </w:r>
            <w:r/>
          </w:p>
          <w:p>
            <w:pPr>
              <w:pStyle w:val="662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  <w:rPr>
                <w:bCs/>
              </w:rPr>
            </w:pPr>
            <w:r>
              <w:rPr>
                <w:bCs/>
              </w:rPr>
              <w:t xml:space="preserve">Результаты голосования: За – 10,  Против – 0, Воздержался – 0, не учитывались при голосовании – 0.</w:t>
            </w:r>
            <w:r/>
          </w:p>
          <w:p>
            <w:pPr>
              <w:pStyle w:val="662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</w:pPr>
            <w:r/>
            <w:r/>
          </w:p>
          <w:p>
            <w:pPr>
              <w:pStyle w:val="735"/>
              <w:rPr>
                <w:b/>
              </w:rPr>
            </w:pPr>
            <w:r>
              <w:rPr>
                <w:b/>
              </w:rPr>
              <w:t xml:space="preserve">Принятое решение:</w:t>
            </w:r>
            <w:r/>
          </w:p>
          <w:p>
            <w:pPr>
              <w:pStyle w:val="738"/>
              <w:spacing w:before="20" w:after="20"/>
            </w:pPr>
            <w:r>
              <w:t xml:space="preserve">1.1. Утвердить бизнес-план ПАО «ОГК-2» на 2024 год согласно Приложению № 2.1. 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 решению Совета директоров.</w:t>
            </w:r>
            <w:r/>
          </w:p>
          <w:p>
            <w:pPr>
              <w:pStyle w:val="738"/>
              <w:spacing w:before="20" w:after="20"/>
            </w:pPr>
            <w:r>
              <w:t xml:space="preserve">1.2. Принять к сведению параметры бюджета доходов и расходов Субхолдинга ОГК-2 на 2024 год согласно Приложению</w:t>
              <w:br/>
              <w:t xml:space="preserve">№ 2.2.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к решению Совета директоров.</w:t>
            </w:r>
            <w:r/>
          </w:p>
          <w:p>
            <w:pPr>
              <w:pStyle w:val="736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1.3. Утвердить целевые значения ключевых показателей деятельности в функциональной области «бюджетирование» Субхолдинга ОГК-2 на 2024 год согласно Приложению № 2.3. к решению Совета директоров.</w:t>
            </w:r>
            <w:r/>
          </w:p>
          <w:p>
            <w:pPr>
              <w:pStyle w:val="662"/>
              <w:ind w:right="57" w:firstLine="21"/>
              <w:jc w:val="both"/>
              <w:rPr>
                <w:b/>
                <w:color w:val="000000"/>
              </w:rPr>
            </w:pPr>
            <w:r/>
            <w:r/>
          </w:p>
          <w:p>
            <w:pPr>
              <w:pStyle w:val="662"/>
              <w:ind w:right="57" w:firstLine="2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12.03.2024.</w:t>
            </w:r>
            <w:r/>
          </w:p>
          <w:p>
            <w:pPr>
              <w:pStyle w:val="662"/>
              <w:ind w:right="57" w:firstLine="21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 xml:space="preserve">Протокол от 12.03.2024 № 316.</w:t>
            </w:r>
            <w:r/>
          </w:p>
        </w:tc>
      </w:tr>
    </w:tbl>
    <w:p>
      <w:pPr>
        <w:pStyle w:val="662"/>
      </w:pPr>
      <w:r/>
      <w:r/>
    </w:p>
    <w:tbl>
      <w:tblPr>
        <w:tblW w:w="10995" w:type="dxa"/>
        <w:tblInd w:w="-147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639"/>
        <w:gridCol w:w="612"/>
        <w:gridCol w:w="298"/>
        <w:gridCol w:w="1329"/>
        <w:gridCol w:w="417"/>
        <w:gridCol w:w="312"/>
        <w:gridCol w:w="1538"/>
        <w:gridCol w:w="1818"/>
        <w:gridCol w:w="3031"/>
      </w:tblGrid>
      <w:tr>
        <w:trPr>
          <w:cantSplit/>
          <w:trHeight w:val="105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5" w:type="dxa"/>
            <w:textDirection w:val="lrTb"/>
            <w:noWrap w:val="false"/>
          </w:tcPr>
          <w:p>
            <w:pPr>
              <w:pStyle w:val="662"/>
              <w:ind w:left="-61" w:right="-116" w:firstLine="33"/>
              <w:jc w:val="center"/>
            </w:pPr>
            <w:r>
              <w:t xml:space="preserve">3. Подпись</w:t>
            </w:r>
            <w:r/>
          </w:p>
        </w:tc>
      </w:tr>
      <w:tr>
        <w:trPr>
          <w:cantSplit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</w:tcBorders>
            <w:tcW w:w="6145" w:type="dxa"/>
            <w:vAlign w:val="bottom"/>
            <w:textDirection w:val="lrTb"/>
            <w:noWrap w:val="false"/>
          </w:tcPr>
          <w:p>
            <w:pPr>
              <w:pStyle w:val="662"/>
              <w:ind w:left="0" w:right="0" w:firstLine="0"/>
              <w:spacing w:before="240" w:after="0" w:line="57" w:lineRule="atLeast"/>
            </w:pPr>
            <w:r>
              <w:rPr>
                <w:b/>
              </w:rPr>
              <w:t xml:space="preserve">3.1.</w:t>
            </w:r>
            <w:r>
              <w:rPr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</w:rPr>
              <w:t xml:space="preserve">Начальник Управления корпоративных и имущественных отношений ПАО «ОГК-2» на основании доверенности</w:t>
              <w:br/>
              <w:t xml:space="preserve">№ 78/66-н/78-2022-3-513 от 07.06.2022</w:t>
            </w:r>
            <w:r/>
          </w:p>
          <w:p>
            <w:pPr>
              <w:pStyle w:val="662"/>
              <w:ind w:left="57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18" w:type="dxa"/>
            <w:vAlign w:val="bottom"/>
            <w:textDirection w:val="lrTb"/>
            <w:noWrap w:val="false"/>
          </w:tcPr>
          <w:p>
            <w:pPr>
              <w:pStyle w:val="662"/>
            </w:pPr>
            <w:r/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031" w:type="dxa"/>
            <w:vAlign w:val="bottom"/>
            <w:textDirection w:val="lrTb"/>
            <w:noWrap w:val="false"/>
          </w:tcPr>
          <w:p>
            <w:pPr>
              <w:pStyle w:val="662"/>
              <w:ind w:left="0" w:right="121" w:firstLine="0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 xml:space="preserve">Е.Н. Егорова</w:t>
            </w:r>
            <w:r/>
          </w:p>
        </w:tc>
      </w:tr>
      <w:tr>
        <w:trPr>
          <w:cantSplit/>
          <w:trHeight w:val="363"/>
        </w:trPr>
        <w:tc>
          <w:tcPr>
            <w:gridSpan w:val="7"/>
            <w:tcBorders>
              <w:left w:val="single" w:color="000000" w:sz="4" w:space="0"/>
            </w:tcBorders>
            <w:tcW w:w="6145" w:type="dxa"/>
            <w:textDirection w:val="lrTb"/>
            <w:noWrap w:val="false"/>
          </w:tcPr>
          <w:p>
            <w:pPr>
              <w:pStyle w:val="662"/>
            </w:pPr>
            <w:r/>
            <w:r/>
          </w:p>
        </w:tc>
        <w:tc>
          <w:tcPr>
            <w:tcMar>
              <w:left w:w="55" w:type="dxa"/>
              <w:top w:w="55" w:type="dxa"/>
              <w:right w:w="55" w:type="dxa"/>
              <w:bottom w:w="55" w:type="dxa"/>
            </w:tcMar>
            <w:tcW w:w="1818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t xml:space="preserve">(подпись)</w:t>
            </w:r>
            <w:r/>
          </w:p>
        </w:tc>
        <w:tc>
          <w:tcPr>
            <w:tcBorders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031" w:type="dxa"/>
            <w:textDirection w:val="lrTb"/>
            <w:noWrap w:val="false"/>
          </w:tcPr>
          <w:p>
            <w:pPr>
              <w:pStyle w:val="662"/>
            </w:pPr>
            <w:r/>
            <w:r/>
          </w:p>
        </w:tc>
      </w:tr>
      <w:tr>
        <w:trPr>
          <w:cantSplit/>
          <w:trHeight w:val="6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39" w:type="dxa"/>
            <w:vAlign w:val="bottom"/>
            <w:textDirection w:val="lrTb"/>
            <w:noWrap w:val="false"/>
          </w:tcPr>
          <w:p>
            <w:pPr>
              <w:pStyle w:val="662"/>
              <w:ind w:left="57"/>
              <w:tabs>
                <w:tab w:val="clear" w:pos="708" w:leader="none"/>
                <w:tab w:val="left" w:pos="893" w:leader="none"/>
                <w:tab w:val="left" w:pos="1532" w:leader="none"/>
              </w:tabs>
            </w:pPr>
            <w:r>
              <w:t xml:space="preserve">3.2. Дата</w:t>
            </w:r>
            <w:r/>
          </w:p>
        </w:tc>
        <w:tc>
          <w:tcPr>
            <w:tcBorders>
              <w:bottom w:val="single" w:color="000000" w:sz="4" w:space="0"/>
            </w:tcBorders>
            <w:tcW w:w="612" w:type="dxa"/>
            <w:vAlign w:val="bottom"/>
            <w:textDirection w:val="lrTb"/>
            <w:noWrap w:val="false"/>
          </w:tcPr>
          <w:p>
            <w:pPr>
              <w:pStyle w:val="662"/>
            </w:pPr>
            <w:r>
              <w:t xml:space="preserve">«12»</w:t>
            </w:r>
            <w:r/>
          </w:p>
        </w:tc>
        <w:tc>
          <w:tcPr>
            <w:tcBorders>
              <w:bottom w:val="single" w:color="000000" w:sz="4" w:space="0"/>
            </w:tcBorders>
            <w:tcW w:w="298" w:type="dxa"/>
            <w:vAlign w:val="bottom"/>
            <w:textDirection w:val="lrTb"/>
            <w:noWrap w:val="false"/>
          </w:tcPr>
          <w:p>
            <w:pPr>
              <w:pStyle w:val="66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329" w:type="dxa"/>
            <w:vAlign w:val="bottom"/>
            <w:textDirection w:val="lrTb"/>
            <w:noWrap w:val="false"/>
          </w:tcPr>
          <w:p>
            <w:pPr>
              <w:pStyle w:val="662"/>
            </w:pPr>
            <w:r>
              <w:t xml:space="preserve">марта</w:t>
            </w:r>
            <w:r/>
          </w:p>
        </w:tc>
        <w:tc>
          <w:tcPr>
            <w:tcBorders>
              <w:bottom w:val="single" w:color="000000" w:sz="4" w:space="0"/>
            </w:tcBorders>
            <w:tcW w:w="417" w:type="dxa"/>
            <w:vAlign w:val="bottom"/>
            <w:textDirection w:val="lrTb"/>
            <w:noWrap w:val="false"/>
          </w:tcPr>
          <w:p>
            <w:pPr>
              <w:pStyle w:val="662"/>
              <w:jc w:val="center"/>
            </w:pPr>
            <w: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12" w:type="dxa"/>
            <w:vAlign w:val="bottom"/>
            <w:textDirection w:val="lrTb"/>
            <w:noWrap w:val="false"/>
          </w:tcPr>
          <w:p>
            <w:pPr>
              <w:pStyle w:val="662"/>
            </w:pPr>
            <w:r>
              <w:t xml:space="preserve">24</w:t>
            </w:r>
            <w:r/>
          </w:p>
        </w:tc>
        <w:tc>
          <w:tcPr>
            <w:tcBorders>
              <w:bottom w:val="single" w:color="000000" w:sz="4" w:space="0"/>
            </w:tcBorders>
            <w:tcW w:w="1538" w:type="dxa"/>
            <w:vAlign w:val="bottom"/>
            <w:textDirection w:val="lrTb"/>
            <w:noWrap w:val="false"/>
          </w:tcPr>
          <w:p>
            <w:pPr>
              <w:pStyle w:val="662"/>
              <w:ind w:left="57"/>
            </w:pPr>
            <w:r>
              <w:t xml:space="preserve">г.</w:t>
            </w:r>
            <w:r/>
          </w:p>
        </w:tc>
        <w:tc>
          <w:tcPr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850" w:type="dxa"/>
            <w:vAlign w:val="bottom"/>
            <w:textDirection w:val="lrTb"/>
            <w:noWrap w:val="false"/>
          </w:tcPr>
          <w:p>
            <w:pPr>
              <w:pStyle w:val="662"/>
              <w:ind w:left="0" w:right="-221" w:firstLine="0"/>
              <w:jc w:val="center"/>
            </w:pPr>
            <w:r/>
            <w:r/>
          </w:p>
        </w:tc>
      </w:tr>
    </w:tbl>
    <w:p>
      <w:pPr>
        <w:pStyle w:val="662"/>
        <w:tabs>
          <w:tab w:val="clear" w:pos="708" w:leader="none"/>
          <w:tab w:val="left" w:pos="2895" w:leader="none"/>
        </w:tabs>
      </w:pPr>
      <w:r/>
      <w:r/>
    </w:p>
    <w:sectPr>
      <w:headerReference w:type="default" r:id="rId8"/>
      <w:headerReference w:type="even" r:id="rId9"/>
      <w:footerReference w:type="default" r:id="rId10"/>
      <w:footnotePr/>
      <w:endnotePr/>
      <w:type w:val="nextPage"/>
      <w:pgSz w:w="11906" w:h="16838" w:orient="portrait"/>
      <w:pgMar w:top="590" w:right="1440" w:bottom="1440" w:left="731" w:header="284" w:footer="284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Calibri">
    <w:panose1 w:val="020F05020202040302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731"/>
                            <w:rPr>
                              <w:rStyle w:val="696"/>
                            </w:rPr>
                          </w:pPr>
                          <w:r>
                            <w:rPr>
                              <w:rStyle w:val="69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2;o:allowoverlap:true;o:allowincell:false;mso-position-horizontal-relative:margin;mso-position-horizontal:center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731"/>
                      <w:rPr>
                        <w:rStyle w:val="696"/>
                      </w:rPr>
                    </w:pPr>
                    <w:r>
                      <w:rPr>
                        <w:rStyle w:val="696"/>
                        <w:color w:val="000000"/>
                      </w:rPr>
                      <w:fldChar w:fldCharType="begin"/>
                    </w:r>
                    <w:r>
                      <w:rPr>
                        <w:rStyle w:val="69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696"/>
                        <w:color w:val="000000"/>
                      </w:rPr>
                      <w:fldChar w:fldCharType="separate"/>
                    </w:r>
                    <w:r>
                      <w:rPr>
                        <w:rStyle w:val="696"/>
                        <w:color w:val="000000"/>
                      </w:rPr>
                      <w:t xml:space="preserve">0</w:t>
                    </w:r>
                    <w:r>
                      <w:rPr>
                        <w:rStyle w:val="696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663">
    <w:name w:val="Heading 1"/>
    <w:basedOn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4">
    <w:name w:val="Heading 2"/>
    <w:basedOn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5">
    <w:name w:val="Heading 3"/>
    <w:basedOn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6">
    <w:name w:val="Heading 4"/>
    <w:basedOn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1 Char"/>
    <w:basedOn w:val="694"/>
    <w:uiPriority w:val="9"/>
    <w:qFormat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694"/>
    <w:uiPriority w:val="9"/>
    <w:qFormat/>
    <w:rPr>
      <w:rFonts w:ascii="Arial" w:hAnsi="Arial" w:eastAsia="Arial" w:cs="Arial"/>
      <w:sz w:val="34"/>
    </w:rPr>
  </w:style>
  <w:style w:type="character" w:styleId="674">
    <w:name w:val="Heading 3 Char"/>
    <w:basedOn w:val="694"/>
    <w:uiPriority w:val="9"/>
    <w:qFormat/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69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69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69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8">
    <w:name w:val="Heading 7 Char"/>
    <w:basedOn w:val="69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8 Char"/>
    <w:basedOn w:val="69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0">
    <w:name w:val="Heading 9 Char"/>
    <w:basedOn w:val="69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1">
    <w:name w:val="Title Char"/>
    <w:basedOn w:val="694"/>
    <w:uiPriority w:val="10"/>
    <w:qFormat/>
    <w:rPr>
      <w:sz w:val="48"/>
      <w:szCs w:val="48"/>
    </w:rPr>
  </w:style>
  <w:style w:type="character" w:styleId="682">
    <w:name w:val="Subtitle Char"/>
    <w:basedOn w:val="694"/>
    <w:uiPriority w:val="11"/>
    <w:qFormat/>
    <w:rPr>
      <w:sz w:val="24"/>
      <w:szCs w:val="24"/>
    </w:rPr>
  </w:style>
  <w:style w:type="character" w:styleId="683">
    <w:name w:val="Quote Char"/>
    <w:uiPriority w:val="29"/>
    <w:qFormat/>
    <w:rPr>
      <w:i/>
    </w:rPr>
  </w:style>
  <w:style w:type="character" w:styleId="684">
    <w:name w:val="Intense Quote Char"/>
    <w:uiPriority w:val="30"/>
    <w:qFormat/>
    <w:rPr>
      <w:i/>
    </w:rPr>
  </w:style>
  <w:style w:type="character" w:styleId="685">
    <w:name w:val="Header Char"/>
    <w:basedOn w:val="694"/>
    <w:uiPriority w:val="99"/>
    <w:qFormat/>
  </w:style>
  <w:style w:type="character" w:styleId="686">
    <w:name w:val="Footer Char"/>
    <w:basedOn w:val="694"/>
    <w:uiPriority w:val="99"/>
    <w:qFormat/>
  </w:style>
  <w:style w:type="character" w:styleId="687">
    <w:name w:val="Caption Char"/>
    <w:uiPriority w:val="99"/>
    <w:qFormat/>
  </w:style>
  <w:style w:type="character" w:styleId="688">
    <w:name w:val="Footnote Text Char"/>
    <w:uiPriority w:val="99"/>
    <w:qFormat/>
    <w:rPr>
      <w:sz w:val="18"/>
    </w:rPr>
  </w:style>
  <w:style w:type="character" w:styleId="689">
    <w:name w:val="Символ сноски"/>
    <w:uiPriority w:val="99"/>
    <w:unhideWhenUsed/>
    <w:qFormat/>
    <w:rPr>
      <w:vertAlign w:val="superscript"/>
    </w:rPr>
  </w:style>
  <w:style w:type="character" w:styleId="690">
    <w:name w:val="footnote reference"/>
    <w:rPr>
      <w:vertAlign w:val="superscript"/>
    </w:rPr>
  </w:style>
  <w:style w:type="character" w:styleId="691">
    <w:name w:val="Endnote Text Char"/>
    <w:uiPriority w:val="99"/>
    <w:qFormat/>
    <w:rPr>
      <w:sz w:val="20"/>
    </w:rPr>
  </w:style>
  <w:style w:type="character" w:styleId="692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93">
    <w:name w:val="endnote reference"/>
    <w:rPr>
      <w:vertAlign w:val="superscript"/>
    </w:rPr>
  </w:style>
  <w:style w:type="character" w:styleId="694" w:default="1">
    <w:name w:val="Default Paragraph Font"/>
    <w:uiPriority w:val="1"/>
    <w:semiHidden/>
    <w:unhideWhenUsed/>
    <w:qFormat/>
  </w:style>
  <w:style w:type="character" w:styleId="695" w:customStyle="1">
    <w:name w:val="Верхний колонтитул Знак"/>
    <w:basedOn w:val="69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6">
    <w:name w:val="page number"/>
    <w:basedOn w:val="694"/>
    <w:qFormat/>
  </w:style>
  <w:style w:type="character" w:styleId="697">
    <w:name w:val="Hyperlink"/>
    <w:rPr>
      <w:color w:val="0000ff"/>
      <w:u w:val="single"/>
    </w:rPr>
  </w:style>
  <w:style w:type="character" w:styleId="698" w:customStyle="1">
    <w:name w:val="Основной текст Знак"/>
    <w:basedOn w:val="69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9" w:customStyle="1">
    <w:name w:val="Нижний колонтитул Знак"/>
    <w:basedOn w:val="694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00" w:customStyle="1">
    <w:name w:val="Текст выноски Знак"/>
    <w:basedOn w:val="694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70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702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703">
    <w:name w:val="Subtle Emphasis"/>
    <w:basedOn w:val="694"/>
    <w:uiPriority w:val="19"/>
    <w:qFormat/>
    <w:rPr>
      <w:i/>
      <w:iCs/>
      <w:color w:val="404040" w:themeColor="text1" w:themeTint="BF"/>
    </w:rPr>
  </w:style>
  <w:style w:type="character" w:styleId="704">
    <w:name w:val="Strong"/>
    <w:basedOn w:val="694"/>
    <w:uiPriority w:val="22"/>
    <w:qFormat/>
    <w:rPr>
      <w:b/>
      <w:bCs/>
    </w:rPr>
  </w:style>
  <w:style w:type="character" w:styleId="705" w:customStyle="1">
    <w:name w:val="Subst"/>
    <w:uiPriority w:val="99"/>
    <w:qFormat/>
    <w:rPr>
      <w:b/>
      <w:i/>
    </w:rPr>
  </w:style>
  <w:style w:type="character" w:styleId="706">
    <w:name w:val="Символ нумерации"/>
    <w:qFormat/>
  </w:style>
  <w:style w:type="paragraph" w:styleId="707">
    <w:name w:val="Заголовок"/>
    <w:basedOn w:val="662"/>
    <w:next w:val="708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708">
    <w:name w:val="Body Text"/>
    <w:basedOn w:val="662"/>
    <w:pPr>
      <w:spacing w:before="0" w:after="120"/>
    </w:pPr>
  </w:style>
  <w:style w:type="paragraph" w:styleId="709">
    <w:name w:val="List"/>
    <w:basedOn w:val="708"/>
    <w:rPr>
      <w:rFonts w:cs="Lohit Devanagari"/>
    </w:rPr>
  </w:style>
  <w:style w:type="paragraph" w:styleId="710">
    <w:name w:val="Caption"/>
    <w:basedOn w:val="662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711">
    <w:name w:val="Указатель"/>
    <w:basedOn w:val="662"/>
    <w:qFormat/>
    <w:pPr>
      <w:suppressLineNumbers/>
    </w:pPr>
    <w:rPr>
      <w:rFonts w:cs="Lohit Devanagari"/>
    </w:rPr>
  </w:style>
  <w:style w:type="paragraph" w:styleId="712">
    <w:name w:val="Title"/>
    <w:basedOn w:val="66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13">
    <w:name w:val="Subtitle"/>
    <w:basedOn w:val="662"/>
    <w:uiPriority w:val="11"/>
    <w:qFormat/>
    <w:pPr>
      <w:spacing w:before="200" w:after="200"/>
    </w:pPr>
    <w:rPr>
      <w:sz w:val="24"/>
      <w:szCs w:val="24"/>
    </w:rPr>
  </w:style>
  <w:style w:type="paragraph" w:styleId="714">
    <w:name w:val="Quote"/>
    <w:basedOn w:val="662"/>
    <w:uiPriority w:val="29"/>
    <w:qFormat/>
    <w:pPr>
      <w:ind w:left="720" w:right="720"/>
    </w:pPr>
    <w:rPr>
      <w:i/>
    </w:rPr>
  </w:style>
  <w:style w:type="paragraph" w:styleId="715">
    <w:name w:val="Intense Quote"/>
    <w:basedOn w:val="662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16">
    <w:name w:val="footnote text"/>
    <w:basedOn w:val="662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17">
    <w:name w:val="endnote text"/>
    <w:basedOn w:val="662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18">
    <w:name w:val="toc 1"/>
    <w:basedOn w:val="662"/>
    <w:uiPriority w:val="39"/>
    <w:unhideWhenUsed/>
    <w:pPr>
      <w:ind w:left="0" w:right="0" w:firstLine="0"/>
      <w:spacing w:before="0" w:after="57"/>
    </w:pPr>
  </w:style>
  <w:style w:type="paragraph" w:styleId="719">
    <w:name w:val="toc 2"/>
    <w:basedOn w:val="662"/>
    <w:uiPriority w:val="39"/>
    <w:unhideWhenUsed/>
    <w:pPr>
      <w:ind w:left="283" w:right="0" w:firstLine="0"/>
      <w:spacing w:before="0" w:after="57"/>
    </w:pPr>
  </w:style>
  <w:style w:type="paragraph" w:styleId="720">
    <w:name w:val="toc 3"/>
    <w:basedOn w:val="662"/>
    <w:uiPriority w:val="39"/>
    <w:unhideWhenUsed/>
    <w:pPr>
      <w:ind w:left="567" w:right="0" w:firstLine="0"/>
      <w:spacing w:before="0" w:after="57"/>
    </w:pPr>
  </w:style>
  <w:style w:type="paragraph" w:styleId="721">
    <w:name w:val="toc 4"/>
    <w:basedOn w:val="662"/>
    <w:uiPriority w:val="39"/>
    <w:unhideWhenUsed/>
    <w:pPr>
      <w:ind w:left="850" w:right="0" w:firstLine="0"/>
      <w:spacing w:before="0" w:after="57"/>
    </w:pPr>
  </w:style>
  <w:style w:type="paragraph" w:styleId="722">
    <w:name w:val="toc 5"/>
    <w:basedOn w:val="662"/>
    <w:uiPriority w:val="39"/>
    <w:unhideWhenUsed/>
    <w:pPr>
      <w:ind w:left="1134" w:right="0" w:firstLine="0"/>
      <w:spacing w:before="0" w:after="57"/>
    </w:pPr>
  </w:style>
  <w:style w:type="paragraph" w:styleId="723">
    <w:name w:val="toc 6"/>
    <w:basedOn w:val="662"/>
    <w:uiPriority w:val="39"/>
    <w:unhideWhenUsed/>
    <w:pPr>
      <w:ind w:left="1417" w:right="0" w:firstLine="0"/>
      <w:spacing w:before="0" w:after="57"/>
    </w:pPr>
  </w:style>
  <w:style w:type="paragraph" w:styleId="724">
    <w:name w:val="toc 7"/>
    <w:basedOn w:val="662"/>
    <w:uiPriority w:val="39"/>
    <w:unhideWhenUsed/>
    <w:pPr>
      <w:ind w:left="1701" w:right="0" w:firstLine="0"/>
      <w:spacing w:before="0" w:after="57"/>
    </w:pPr>
  </w:style>
  <w:style w:type="paragraph" w:styleId="725">
    <w:name w:val="toc 8"/>
    <w:basedOn w:val="662"/>
    <w:uiPriority w:val="39"/>
    <w:unhideWhenUsed/>
    <w:pPr>
      <w:ind w:left="1984" w:right="0" w:firstLine="0"/>
      <w:spacing w:before="0" w:after="57"/>
    </w:pPr>
  </w:style>
  <w:style w:type="paragraph" w:styleId="726">
    <w:name w:val="toc 9"/>
    <w:basedOn w:val="662"/>
    <w:uiPriority w:val="39"/>
    <w:unhideWhenUsed/>
    <w:pPr>
      <w:ind w:left="2268" w:right="0" w:firstLine="0"/>
      <w:spacing w:before="0" w:after="57"/>
    </w:pPr>
  </w:style>
  <w:style w:type="paragraph" w:styleId="727">
    <w:name w:val="Index Heading"/>
    <w:basedOn w:val="707"/>
  </w:style>
  <w:style w:type="paragraph" w:styleId="728">
    <w:name w:val="TOC Heading"/>
    <w:uiPriority w:val="39"/>
    <w:unhideWhenUsed/>
    <w:qFormat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29">
    <w:name w:val="table of figures"/>
    <w:basedOn w:val="662"/>
    <w:uiPriority w:val="99"/>
    <w:unhideWhenUsed/>
    <w:pPr>
      <w:spacing w:before="0" w:after="0" w:afterAutospacing="0"/>
    </w:pPr>
  </w:style>
  <w:style w:type="paragraph" w:styleId="730">
    <w:name w:val="Колонтитул"/>
    <w:basedOn w:val="662"/>
    <w:qFormat/>
  </w:style>
  <w:style w:type="paragraph" w:styleId="731">
    <w:name w:val="Header"/>
    <w:basedOn w:val="662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732">
    <w:name w:val="Footer"/>
    <w:basedOn w:val="662"/>
    <w:uiPriority w:val="9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33">
    <w:name w:val="Balloon Text"/>
    <w:basedOn w:val="662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734">
    <w:name w:val="List Paragraph"/>
    <w:basedOn w:val="662"/>
    <w:uiPriority w:val="34"/>
    <w:qFormat/>
    <w:pPr>
      <w:contextualSpacing/>
      <w:ind w:left="720"/>
      <w:spacing w:before="0"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35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736" w:customStyle="1">
    <w:name w:val="Абзац 3"/>
    <w:basedOn w:val="662"/>
    <w:qFormat/>
    <w:pPr>
      <w:jc w:val="both"/>
    </w:pPr>
    <w:rPr>
      <w:rFonts w:eastAsia="Arial" w:cs="Arial" w:eastAsiaTheme="minorEastAsia" w:cstheme="minorBidi"/>
      <w:sz w:val="24"/>
      <w:szCs w:val="22"/>
    </w:rPr>
  </w:style>
  <w:style w:type="paragraph" w:styleId="737">
    <w:name w:val="Содержимое врезки"/>
    <w:basedOn w:val="662"/>
    <w:qFormat/>
  </w:style>
  <w:style w:type="paragraph" w:styleId="738">
    <w:name w:val="Абзац 4"/>
    <w:basedOn w:val="662"/>
    <w:qFormat/>
    <w:pPr>
      <w:jc w:val="both"/>
    </w:pPr>
  </w:style>
  <w:style w:type="numbering" w:styleId="739" w:default="1">
    <w:name w:val="No List"/>
    <w:uiPriority w:val="99"/>
    <w:semiHidden/>
    <w:unhideWhenUsed/>
    <w:qFormat/>
  </w:style>
  <w:style w:type="table" w:styleId="740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cPr>
        <w:shd w:val="clear" w:color="ffffff" w:fill="f2f2f2" w:themeFill="text1" w:themeFillTint="00"/>
      </w:tcPr>
    </w:tblStylePr>
    <w:tblStylePr w:type="band1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cPr>
        <w:shd w:val="clear" w:color="ffffff" w:fill="ddebf6" w:themeFill="accent1" w:themeFillTint="34"/>
      </w:tcPr>
    </w:tblStylePr>
    <w:tblStylePr w:type="band1Vert">
      <w:rPr>
        <w:sz w:val="22"/>
      </w:rPr>
      <w:tcPr>
        <w:shd w:val="clear" w:color="ffffff" w:fill="ddebf6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cPr>
        <w:shd w:val="clear" w:color="ffffff" w:fill="fbe5d6" w:themeFill="accent2" w:themeFillTint="32"/>
      </w:tcPr>
    </w:tblStylePr>
    <w:tblStylePr w:type="band1Vert">
      <w:rPr>
        <w:sz w:val="22"/>
      </w:rPr>
      <w:tcPr>
        <w:shd w:val="clear" w:color="ffffff" w:fill="fbe5d6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cPr>
        <w:shd w:val="clear" w:color="ffffff" w:fill="ededed" w:themeFill="accent3" w:themeFillTint="34"/>
      </w:tcPr>
    </w:tblStylePr>
    <w:tblStylePr w:type="band1Vert">
      <w:rPr>
        <w:sz w:val="22"/>
      </w:rPr>
      <w:tcPr>
        <w:shd w:val="clear" w:color="ffffff" w:fill="ededed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cPr>
        <w:shd w:val="clear" w:color="ffffff" w:fill="fef2cb" w:themeFill="accent4" w:themeFillTint="34"/>
      </w:tcPr>
    </w:tblStylePr>
    <w:tblStylePr w:type="band1Vert">
      <w:rPr>
        <w:sz w:val="22"/>
      </w:rPr>
      <w:tcPr>
        <w:shd w:val="clear" w:color="ffffff" w:fill="fef2cb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cPr>
        <w:shd w:val="clear" w:color="ffffff" w:fill="d9e2f2" w:themeFill="accent5" w:themeFillTint="34"/>
      </w:tcPr>
    </w:tblStylePr>
    <w:tblStylePr w:type="band1Vert">
      <w:rPr>
        <w:sz w:val="22"/>
      </w:rPr>
      <w:tcPr>
        <w:shd w:val="clear" w:color="ffffff" w:fill="d9e2f2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cPr>
        <w:shd w:val="clear" w:color="ffffff" w:fill="e2efd8" w:themeFill="accent6" w:themeFillTint="34"/>
      </w:tcPr>
    </w:tblStylePr>
    <w:tblStylePr w:type="band1Vert">
      <w:rPr>
        <w:sz w:val="22"/>
      </w:rPr>
      <w:tcPr>
        <w:shd w:val="clear" w:color="ffffff" w:fill="e2ef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cPr>
        <w:shd w:val="clear" w:color="ffffff" w:fill="ddebf6" w:themeFill="accent1" w:themeFillTint="34"/>
      </w:tcPr>
    </w:tblStylePr>
    <w:tblStylePr w:type="band1Vert">
      <w:rPr>
        <w:sz w:val="22"/>
      </w:rPr>
      <w:tcPr>
        <w:shd w:val="clear" w:color="ffffff" w:fill="ddebf6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cPr>
        <w:shd w:val="clear" w:color="ffffff" w:fill="fbe5d6" w:themeFill="accent2" w:themeFillTint="32"/>
      </w:tcPr>
    </w:tblStylePr>
    <w:tblStylePr w:type="band1Vert">
      <w:rPr>
        <w:sz w:val="22"/>
      </w:rPr>
      <w:tcPr>
        <w:shd w:val="clear" w:color="ffffff" w:fill="fbe5d6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cPr>
        <w:shd w:val="clear" w:color="ffffff" w:fill="ededed" w:themeFill="accent3" w:themeFillTint="34"/>
      </w:tcPr>
    </w:tblStylePr>
    <w:tblStylePr w:type="band1Vert">
      <w:rPr>
        <w:sz w:val="22"/>
      </w:rPr>
      <w:tcPr>
        <w:shd w:val="clear" w:color="ffffff" w:fill="ededed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cPr>
        <w:shd w:val="clear" w:color="ffffff" w:fill="fef2cb" w:themeFill="accent4" w:themeFillTint="34"/>
      </w:tcPr>
    </w:tblStylePr>
    <w:tblStylePr w:type="band1Vert">
      <w:rPr>
        <w:sz w:val="22"/>
      </w:rPr>
      <w:tcPr>
        <w:shd w:val="clear" w:color="ffffff" w:fill="fef2cb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cPr>
        <w:shd w:val="clear" w:color="ffffff" w:fill="d9e2f2" w:themeFill="accent5" w:themeFillTint="34"/>
      </w:tcPr>
    </w:tblStylePr>
    <w:tblStylePr w:type="band1Vert">
      <w:rPr>
        <w:sz w:val="22"/>
      </w:rPr>
      <w:tcPr>
        <w:shd w:val="clear" w:color="ffffff" w:fill="d9e2f2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cPr>
        <w:shd w:val="clear" w:color="ffffff" w:fill="e2efd8" w:themeFill="accent6" w:themeFillTint="34"/>
      </w:tcPr>
    </w:tblStylePr>
    <w:tblStylePr w:type="band1Vert">
      <w:rPr>
        <w:sz w:val="22"/>
      </w:rPr>
      <w:tcPr>
        <w:shd w:val="clear" w:color="ffffff" w:fill="e2ef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febf6" w:themeFill="accent1" w:themeFillTint="32"/>
      </w:tcPr>
    </w:tblStylePr>
    <w:tblStylePr w:type="band1Vert">
      <w:rPr>
        <w:sz w:val="22"/>
      </w:rPr>
      <w:tcPr>
        <w:shd w:val="clear" w:color="ffffff" w:fill="dfebf6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67a4d8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fbe5d6" w:themeFill="accent2" w:themeFillTint="32"/>
      </w:tcPr>
    </w:tblStylePr>
    <w:tblStylePr w:type="band1Vert">
      <w:rPr>
        <w:sz w:val="22"/>
      </w:rPr>
      <w:tcPr>
        <w:shd w:val="clear" w:color="ffffff" w:fill="fbe5d6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4b185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2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deded" w:themeFill="accent3" w:themeFillTint="34"/>
      </w:tcPr>
    </w:tblStylePr>
    <w:tblStylePr w:type="band1Vert">
      <w:rPr>
        <w:sz w:val="22"/>
      </w:rPr>
      <w:tcPr>
        <w:shd w:val="clear" w:color="ffffff" w:fill="ededed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a5a5a5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3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fef2cb" w:themeFill="accent4" w:themeFillTint="34"/>
      </w:tcPr>
    </w:tblStylePr>
    <w:tblStylePr w:type="band1Vert">
      <w:rPr>
        <w:sz w:val="22"/>
      </w:rPr>
      <w:tcPr>
        <w:shd w:val="clear" w:color="ffffff" w:fill="fef2cb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fd864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4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d9e2f2" w:themeFill="accent5" w:themeFillTint="34"/>
      </w:tcPr>
    </w:tblStylePr>
    <w:tblStylePr w:type="band1Vert">
      <w:rPr>
        <w:sz w:val="22"/>
      </w:rPr>
      <w:tcPr>
        <w:shd w:val="clear" w:color="ffffff" w:fill="d9e2f2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e2efd8" w:themeFill="accent6" w:themeFillTint="34"/>
      </w:tcPr>
    </w:tblStylePr>
    <w:tblStylePr w:type="band1Vert">
      <w:rPr>
        <w:sz w:val="22"/>
      </w:rPr>
      <w:tcPr>
        <w:shd w:val="clear" w:color="ffffff" w:fill="e2ef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4d2eb" w:themeFill="accent1" w:themeFillTint="75"/>
      </w:tcPr>
    </w:tblStylePr>
    <w:tblStylePr w:type="band1Vert">
      <w:tcPr>
        <w:shd w:val="clear" w:color="ffffff" w:fill="b4d2eb" w:themeFill="accent1" w:themeFillTint="75"/>
      </w:tcPr>
    </w:tblStylePr>
    <w:tblStylePr w:type="firstCol">
      <w:rPr>
        <w:b/>
        <w:sz w:val="22"/>
      </w:rPr>
      <w:tcPr>
        <w:shd w:val="clear" w:color="ffffff" w:fill="5b9bd5" w:themeFill="accent1"/>
      </w:tcPr>
    </w:tblStylePr>
    <w:tblStylePr w:type="firstRow">
      <w:rPr>
        <w:b/>
        <w:sz w:val="22"/>
      </w:rPr>
      <w:tcPr>
        <w:shd w:val="clear" w:color="ffffff" w:fill="5b9bd5" w:themeFill="accent1"/>
      </w:tcPr>
    </w:tblStylePr>
    <w:tblStylePr w:type="lastCol">
      <w:rPr>
        <w:b/>
        <w:sz w:val="22"/>
      </w:rPr>
      <w:tcPr>
        <w:shd w:val="clear" w:color="ffffff" w:fill="5b9bd5" w:themeFill="accent1"/>
      </w:tcPr>
    </w:tblStylePr>
    <w:tblStylePr w:type="lastRow">
      <w:rPr>
        <w:b/>
        <w:sz w:val="22"/>
      </w:rPr>
      <w:tcPr>
        <w:shd w:val="clear" w:color="ffffff" w:fill="5b9bd5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b/>
        <w:sz w:val="22"/>
      </w:rPr>
      <w:tcPr>
        <w:shd w:val="clear" w:color="ffffff" w:fill="ed7d31" w:themeFill="accent2"/>
      </w:tcPr>
    </w:tblStylePr>
    <w:tblStylePr w:type="firstRow">
      <w:rPr>
        <w:b/>
        <w:sz w:val="22"/>
      </w:rPr>
      <w:tcPr>
        <w:shd w:val="clear" w:color="ffffff" w:fill="ed7d31" w:themeFill="accent2"/>
      </w:tcPr>
    </w:tblStylePr>
    <w:tblStylePr w:type="lastCol">
      <w:rPr>
        <w:b/>
        <w:sz w:val="22"/>
      </w:rPr>
      <w:tcPr>
        <w:shd w:val="clear" w:color="ffffff" w:fill="ed7d31" w:themeFill="accent2"/>
      </w:tcPr>
    </w:tblStylePr>
    <w:tblStylePr w:type="lastRow">
      <w:rPr>
        <w:b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b/>
        <w:sz w:val="22"/>
      </w:rPr>
      <w:tcPr>
        <w:shd w:val="clear" w:color="ffffff" w:fill="a5a5a5" w:themeFill="accent3"/>
      </w:tcPr>
    </w:tblStylePr>
    <w:tblStylePr w:type="firstRow">
      <w:rPr>
        <w:b/>
        <w:sz w:val="22"/>
      </w:rPr>
      <w:tcPr>
        <w:shd w:val="clear" w:color="ffffff" w:fill="a5a5a5" w:themeFill="accent3"/>
      </w:tcPr>
    </w:tblStylePr>
    <w:tblStylePr w:type="lastCol">
      <w:rPr>
        <w:b/>
        <w:sz w:val="22"/>
      </w:rPr>
      <w:tcPr>
        <w:shd w:val="clear" w:color="ffffff" w:fill="a5a5a5" w:themeFill="accent3"/>
      </w:tcPr>
    </w:tblStylePr>
    <w:tblStylePr w:type="lastRow">
      <w:rPr>
        <w:b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b/>
        <w:sz w:val="22"/>
      </w:rPr>
      <w:tcPr>
        <w:shd w:val="clear" w:color="ffffff" w:fill="ffc000" w:themeFill="accent4"/>
      </w:tcPr>
    </w:tblStylePr>
    <w:tblStylePr w:type="firstRow">
      <w:rPr>
        <w:b/>
        <w:sz w:val="22"/>
      </w:rPr>
      <w:tcPr>
        <w:shd w:val="clear" w:color="ffffff" w:fill="ffc000" w:themeFill="accent4"/>
      </w:tcPr>
    </w:tblStylePr>
    <w:tblStylePr w:type="lastCol">
      <w:rPr>
        <w:b/>
        <w:sz w:val="22"/>
      </w:rPr>
      <w:tcPr>
        <w:shd w:val="clear" w:color="ffffff" w:fill="ffc000" w:themeFill="accent4"/>
      </w:tcPr>
    </w:tblStylePr>
    <w:tblStylePr w:type="lastRow">
      <w:rPr>
        <w:b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abfe3" w:themeFill="accent5" w:themeFillTint="75"/>
      </w:tcPr>
    </w:tblStylePr>
    <w:tblStylePr w:type="band1Vert">
      <w:tcPr>
        <w:shd w:val="clear" w:color="ffffff" w:fill="aabfe3" w:themeFill="accent5" w:themeFillTint="75"/>
      </w:tcPr>
    </w:tblStylePr>
    <w:tblStylePr w:type="firstCol">
      <w:rPr>
        <w:b/>
        <w:sz w:val="22"/>
      </w:rPr>
      <w:tcPr>
        <w:shd w:val="clear" w:color="ffffff" w:fill="4472c4" w:themeFill="accent5"/>
      </w:tcPr>
    </w:tblStylePr>
    <w:tblStylePr w:type="firstRow">
      <w:rPr>
        <w:b/>
        <w:sz w:val="22"/>
      </w:rPr>
      <w:tcPr>
        <w:shd w:val="clear" w:color="ffffff" w:fill="4472c4" w:themeFill="accent5"/>
      </w:tcPr>
    </w:tblStylePr>
    <w:tblStylePr w:type="lastCol">
      <w:rPr>
        <w:b/>
        <w:sz w:val="22"/>
      </w:rPr>
      <w:tcPr>
        <w:shd w:val="clear" w:color="ffffff" w:fill="4472c4" w:themeFill="accent5"/>
      </w:tcPr>
    </w:tblStylePr>
    <w:tblStylePr w:type="lastRow">
      <w:rPr>
        <w:b/>
        <w:sz w:val="22"/>
      </w:rPr>
      <w:tcPr>
        <w:shd w:val="clear" w:color="ffffff" w:fill="4472c4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b/>
        <w:sz w:val="22"/>
      </w:rPr>
      <w:tcPr>
        <w:shd w:val="clear" w:color="ffffff" w:fill="70ad47" w:themeFill="accent6"/>
      </w:tcPr>
    </w:tblStylePr>
    <w:tblStylePr w:type="firstRow">
      <w:rPr>
        <w:b/>
        <w:sz w:val="22"/>
      </w:rPr>
      <w:tcPr>
        <w:shd w:val="clear" w:color="ffffff" w:fill="70ad47" w:themeFill="accent6"/>
      </w:tcPr>
    </w:tblStylePr>
    <w:tblStylePr w:type="lastCol">
      <w:rPr>
        <w:b/>
        <w:sz w:val="22"/>
      </w:rPr>
      <w:tcPr>
        <w:shd w:val="clear" w:color="ffffff" w:fill="70ad47" w:themeFill="accent6"/>
      </w:tcPr>
    </w:tblStylePr>
    <w:tblStylePr w:type="lastRow">
      <w:rPr>
        <w:b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a4a4a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317bba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60606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254374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254374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5e6f4" w:themeFill="accent1" w:themeFillTint="40"/>
      </w:tcPr>
    </w:tblStylePr>
    <w:tblStylePr w:type="band1Vert">
      <w:rPr>
        <w:sz w:val="22"/>
      </w:rPr>
      <w:tcPr>
        <w:shd w:val="clear" w:color="ffffff" w:fill="d5e6f4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fadecb" w:themeFill="accent2" w:themeFillTint="40"/>
      </w:tcPr>
    </w:tblStylePr>
    <w:tblStylePr w:type="band1Vert">
      <w:rPr>
        <w:sz w:val="22"/>
      </w:rPr>
      <w:tcPr>
        <w:shd w:val="clear" w:color="ffffff" w:fill="fadecb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8e8e8" w:themeFill="accent3" w:themeFillTint="40"/>
      </w:tcPr>
    </w:tblStylePr>
    <w:tblStylePr w:type="band1Vert">
      <w:rPr>
        <w:sz w:val="22"/>
      </w:rPr>
      <w:tcPr>
        <w:shd w:val="clear" w:color="ffffff" w:fill="e8e8e8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ffefbf" w:themeFill="accent4" w:themeFillTint="40"/>
      </w:tcPr>
    </w:tblStylePr>
    <w:tblStylePr w:type="band1Vert">
      <w:rPr>
        <w:sz w:val="22"/>
      </w:rPr>
      <w:tcPr>
        <w:shd w:val="clear" w:color="ffffff" w:fill="ffefbf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cfdcf0" w:themeFill="accent5" w:themeFillTint="40"/>
      </w:tcPr>
    </w:tblStylePr>
    <w:tblStylePr w:type="band1Vert">
      <w:rPr>
        <w:sz w:val="22"/>
      </w:rPr>
      <w:tcPr>
        <w:shd w:val="clear" w:color="ffffff" w:fill="cfdc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dbebd0" w:themeFill="accent6" w:themeFillTint="40"/>
      </w:tcPr>
    </w:tblStylePr>
    <w:tblStylePr w:type="band1Vert">
      <w:rPr>
        <w:sz w:val="22"/>
      </w:rPr>
      <w:tcPr>
        <w:shd w:val="clear" w:color="ffffff" w:fill="dbeb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b9bd5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4b18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9c9c9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fd864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eabdb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aad08f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cPr>
        <w:shd w:val="clear" w:color="ffffff" w:fill="d5e6f4" w:themeFill="accent1" w:themeFillTint="40"/>
      </w:tcPr>
    </w:tblStylePr>
    <w:tblStylePr w:type="band1Vert">
      <w:rPr>
        <w:sz w:val="22"/>
      </w:rPr>
      <w:tcPr>
        <w:shd w:val="clear" w:color="ffffff" w:fill="d5e6f4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b9bd5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cPr>
        <w:shd w:val="clear" w:color="ffffff" w:fill="fadecb" w:themeFill="accent2" w:themeFillTint="40"/>
      </w:tcPr>
    </w:tblStylePr>
    <w:tblStylePr w:type="band1Vert">
      <w:rPr>
        <w:sz w:val="22"/>
      </w:rPr>
      <w:tcPr>
        <w:shd w:val="clear" w:color="ffffff" w:fill="fadecb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ed7d31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cPr>
        <w:shd w:val="clear" w:color="ffffff" w:fill="e8e8e8" w:themeFill="accent3" w:themeFillTint="40"/>
      </w:tcPr>
    </w:tblStylePr>
    <w:tblStylePr w:type="band1Vert">
      <w:rPr>
        <w:sz w:val="22"/>
      </w:rPr>
      <w:tcPr>
        <w:shd w:val="clear" w:color="ffffff" w:fill="e8e8e8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a5a5a5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cPr>
        <w:shd w:val="clear" w:color="ffffff" w:fill="ffefbf" w:themeFill="accent4" w:themeFillTint="40"/>
      </w:tcPr>
    </w:tblStylePr>
    <w:tblStylePr w:type="band1Vert">
      <w:rPr>
        <w:sz w:val="22"/>
      </w:rPr>
      <w:tcPr>
        <w:shd w:val="clear" w:color="ffffff" w:fill="ffefbf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fc000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cPr>
        <w:shd w:val="clear" w:color="ffffff" w:fill="cfdcf0" w:themeFill="accent5" w:themeFillTint="40"/>
      </w:tcPr>
    </w:tblStylePr>
    <w:tblStylePr w:type="band1Vert">
      <w:rPr>
        <w:sz w:val="22"/>
      </w:rPr>
      <w:tcPr>
        <w:shd w:val="clear" w:color="ffffff" w:fill="cfdc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472c4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cPr>
        <w:shd w:val="clear" w:color="ffffff" w:fill="dbebd0" w:themeFill="accent6" w:themeFillTint="40"/>
      </w:tcPr>
    </w:tblStylePr>
    <w:tblStylePr w:type="band1Vert">
      <w:rPr>
        <w:sz w:val="22"/>
      </w:rPr>
      <w:tcPr>
        <w:shd w:val="clear" w:color="ffffff" w:fill="dbeb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70ad47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eabdb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f2f2" w:themeFill="text1" w:themeFillTint="00"/>
      </w:tcPr>
    </w:tblStylePr>
    <w:tblStylePr w:type="band2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ce0f1" w:themeFill="accent1" w:themeFillTint="50"/>
      </w:tcPr>
    </w:tblStylePr>
    <w:tblStylePr w:type="band2Vert">
      <w:rPr>
        <w:sz w:val="22"/>
      </w:rPr>
      <w:tcPr>
        <w:shd w:val="clear" w:color="ffffff" w:fill="cce0f1" w:themeFill="accent1" w:themeFillTint="50"/>
      </w:tcPr>
    </w:tblStylePr>
    <w:tblStylePr w:type="firstCol">
      <w:rPr>
        <w:sz w:val="22"/>
      </w:rPr>
      <w:tcPr>
        <w:shd w:val="clear" w:color="ffffff" w:fill="67a4d8" w:themeFill="accent1" w:themeFillTint="EA"/>
      </w:tcPr>
    </w:tblStylePr>
    <w:tblStylePr w:type="firstRow">
      <w:rPr>
        <w:sz w:val="22"/>
      </w:rPr>
      <w:tcPr>
        <w:shd w:val="clear" w:color="ffffff" w:fill="67a4d8" w:themeFill="accent1" w:themeFillTint="EA"/>
      </w:tcPr>
    </w:tblStylePr>
    <w:tblStylePr w:type="lastCol">
      <w:rPr>
        <w:sz w:val="22"/>
      </w:rPr>
      <w:tcPr>
        <w:shd w:val="clear" w:color="ffffff" w:fill="67a4d8" w:themeFill="accent1" w:themeFillTint="EA"/>
      </w:tcPr>
    </w:tblStylePr>
    <w:tblStylePr w:type="lastRow">
      <w:rPr>
        <w:sz w:val="22"/>
      </w:rPr>
      <w:tcPr>
        <w:shd w:val="clear" w:color="ffffff" w:fill="67a4d8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be5d6" w:themeFill="accent2" w:themeFillTint="32"/>
      </w:tcPr>
    </w:tblStylePr>
    <w:tblStylePr w:type="band2Vert">
      <w:rPr>
        <w:sz w:val="22"/>
      </w:rPr>
      <w:tcPr>
        <w:shd w:val="clear" w:color="ffffff" w:fill="fbe5d6" w:themeFill="accent2" w:themeFillTint="32"/>
      </w:tcPr>
    </w:tblStylePr>
    <w:tblStylePr w:type="firstCol">
      <w:rPr>
        <w:sz w:val="22"/>
      </w:rPr>
      <w:tcPr>
        <w:shd w:val="clear" w:color="ffffff" w:fill="f4b185" w:themeFill="accent2" w:themeFillTint="97"/>
      </w:tcPr>
    </w:tblStylePr>
    <w:tblStylePr w:type="firstRow">
      <w:rPr>
        <w:sz w:val="22"/>
      </w:rPr>
      <w:tcPr>
        <w:shd w:val="clear" w:color="ffffff" w:fill="f4b185" w:themeFill="accent2" w:themeFillTint="97"/>
      </w:tcPr>
    </w:tblStylePr>
    <w:tblStylePr w:type="lastCol">
      <w:rPr>
        <w:sz w:val="22"/>
      </w:rPr>
      <w:tcPr>
        <w:shd w:val="clear" w:color="ffffff" w:fill="f4b185" w:themeFill="accent2" w:themeFillTint="97"/>
      </w:tcPr>
    </w:tblStylePr>
    <w:tblStylePr w:type="lastRow">
      <w:rPr>
        <w:sz w:val="22"/>
      </w:rPr>
      <w:tcPr>
        <w:shd w:val="clear" w:color="ffffff" w:fill="f4b185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deded" w:themeFill="accent3" w:themeFillTint="34"/>
      </w:tcPr>
    </w:tblStylePr>
    <w:tblStylePr w:type="band2Vert">
      <w:rPr>
        <w:sz w:val="22"/>
      </w:rPr>
      <w:tcPr>
        <w:shd w:val="clear" w:color="ffffff" w:fill="ededed" w:themeFill="accent3" w:themeFillTint="34"/>
      </w:tcPr>
    </w:tblStylePr>
    <w:tblStylePr w:type="firstCol">
      <w:rPr>
        <w:sz w:val="22"/>
      </w:rPr>
      <w:tcPr>
        <w:shd w:val="clear" w:color="ffffff" w:fill="a5a5a5" w:themeFill="accent3" w:themeFillTint="FE"/>
      </w:tcPr>
    </w:tblStylePr>
    <w:tblStylePr w:type="firstRow">
      <w:rPr>
        <w:sz w:val="22"/>
      </w:rPr>
      <w:tcPr>
        <w:shd w:val="clear" w:color="ffffff" w:fill="a5a5a5" w:themeFill="accent3" w:themeFillTint="FE"/>
      </w:tcPr>
    </w:tblStylePr>
    <w:tblStylePr w:type="lastCol">
      <w:rPr>
        <w:sz w:val="22"/>
      </w:rPr>
      <w:tcPr>
        <w:shd w:val="clear" w:color="ffffff" w:fill="a5a5a5" w:themeFill="accent3" w:themeFillTint="FE"/>
      </w:tcPr>
    </w:tblStylePr>
    <w:tblStylePr w:type="lastRow">
      <w:rPr>
        <w:sz w:val="22"/>
      </w:rPr>
      <w:tcPr>
        <w:shd w:val="clear" w:color="ffffff" w:fill="a5a5a5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ef2cb" w:themeFill="accent4" w:themeFillTint="34"/>
      </w:tcPr>
    </w:tblStylePr>
    <w:tblStylePr w:type="band2Vert">
      <w:rPr>
        <w:sz w:val="22"/>
      </w:rPr>
      <w:tcPr>
        <w:shd w:val="clear" w:color="ffffff" w:fill="fef2cb" w:themeFill="accent4" w:themeFillTint="34"/>
      </w:tcPr>
    </w:tblStylePr>
    <w:tblStylePr w:type="firstCol">
      <w:rPr>
        <w:sz w:val="22"/>
      </w:rPr>
      <w:tcPr>
        <w:shd w:val="clear" w:color="ffffff" w:fill="ffd864" w:themeFill="accent4" w:themeFillTint="9A"/>
      </w:tcPr>
    </w:tblStylePr>
    <w:tblStylePr w:type="firstRow">
      <w:rPr>
        <w:sz w:val="22"/>
      </w:rPr>
      <w:tcPr>
        <w:shd w:val="clear" w:color="ffffff" w:fill="ffd864" w:themeFill="accent4" w:themeFillTint="9A"/>
      </w:tcPr>
    </w:tblStylePr>
    <w:tblStylePr w:type="lastCol">
      <w:rPr>
        <w:sz w:val="22"/>
      </w:rPr>
      <w:tcPr>
        <w:shd w:val="clear" w:color="ffffff" w:fill="ffd864" w:themeFill="accent4" w:themeFillTint="9A"/>
      </w:tcPr>
    </w:tblStylePr>
    <w:tblStylePr w:type="lastRow">
      <w:rPr>
        <w:sz w:val="22"/>
      </w:rPr>
      <w:tcPr>
        <w:shd w:val="clear" w:color="ffffff" w:fill="ffd864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9e2f2" w:themeFill="accent5" w:themeFillTint="34"/>
      </w:tcPr>
    </w:tblStylePr>
    <w:tblStylePr w:type="band2Vert">
      <w:rPr>
        <w:sz w:val="22"/>
      </w:rPr>
      <w:tcPr>
        <w:shd w:val="clear" w:color="ffffff" w:fill="d9e2f2" w:themeFill="accent5" w:themeFillTint="34"/>
      </w:tcPr>
    </w:tblStylePr>
    <w:tblStylePr w:type="firstCol">
      <w:rPr>
        <w:sz w:val="22"/>
      </w:rPr>
      <w:tcPr>
        <w:shd w:val="clear" w:color="ffffff" w:fill="4472c4" w:themeFill="accent5"/>
      </w:tcPr>
    </w:tblStylePr>
    <w:tblStylePr w:type="firstRow">
      <w:rPr>
        <w:sz w:val="22"/>
      </w:rPr>
      <w:tcPr>
        <w:shd w:val="clear" w:color="ffffff" w:fill="4472c4" w:themeFill="accent5"/>
      </w:tcPr>
    </w:tblStylePr>
    <w:tblStylePr w:type="lastCol">
      <w:rPr>
        <w:sz w:val="22"/>
      </w:rPr>
      <w:tcPr>
        <w:shd w:val="clear" w:color="ffffff" w:fill="4472c4" w:themeFill="accent5"/>
      </w:tcPr>
    </w:tblStylePr>
    <w:tblStylePr w:type="lastRow">
      <w:rPr>
        <w:sz w:val="22"/>
      </w:rPr>
      <w:tcPr>
        <w:shd w:val="clear" w:color="ffffff" w:fill="4472c4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2efd8" w:themeFill="accent6" w:themeFillTint="34"/>
      </w:tcPr>
    </w:tblStylePr>
    <w:tblStylePr w:type="band2Vert">
      <w:rPr>
        <w:sz w:val="22"/>
      </w:rPr>
      <w:tcPr>
        <w:shd w:val="clear" w:color="ffffff" w:fill="e2efd8" w:themeFill="accent6" w:themeFillTint="34"/>
      </w:tcPr>
    </w:tblStylePr>
    <w:tblStylePr w:type="firstCol">
      <w:rPr>
        <w:sz w:val="22"/>
      </w:rPr>
      <w:tcPr>
        <w:shd w:val="clear" w:color="ffffff" w:fill="70ad47" w:themeFill="accent6"/>
      </w:tcPr>
    </w:tblStylePr>
    <w:tblStylePr w:type="firstRow">
      <w:rPr>
        <w:sz w:val="22"/>
      </w:rPr>
      <w:tcPr>
        <w:shd w:val="clear" w:color="ffffff" w:fill="70ad47" w:themeFill="accent6"/>
      </w:tcPr>
    </w:tblStylePr>
    <w:tblStylePr w:type="lastCol">
      <w:rPr>
        <w:sz w:val="22"/>
      </w:rPr>
      <w:tcPr>
        <w:shd w:val="clear" w:color="ffffff" w:fill="70ad47" w:themeFill="accent6"/>
      </w:tcPr>
    </w:tblStylePr>
    <w:tblStylePr w:type="lastRow">
      <w:rPr>
        <w:sz w:val="22"/>
      </w:rPr>
      <w:tcPr>
        <w:shd w:val="clear" w:color="ffffff" w:fill="70ad47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f2f2" w:themeFill="text1" w:themeFillTint="00"/>
      </w:tcPr>
    </w:tblStylePr>
    <w:tblStylePr w:type="band2Vert">
      <w:rPr>
        <w:sz w:val="22"/>
      </w:rPr>
      <w:tcPr>
        <w:shd w:val="clear" w:color="ffffff" w:fill="f2f2f2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ce0f1" w:themeFill="accent1" w:themeFillTint="50"/>
      </w:tcPr>
    </w:tblStylePr>
    <w:tblStylePr w:type="band2Vert">
      <w:rPr>
        <w:sz w:val="22"/>
      </w:rPr>
      <w:tcPr>
        <w:shd w:val="clear" w:color="ffffff" w:fill="cce0f1" w:themeFill="accent1" w:themeFillTint="50"/>
      </w:tcPr>
    </w:tblStylePr>
    <w:tblStylePr w:type="firstCol">
      <w:rPr>
        <w:sz w:val="22"/>
      </w:rPr>
      <w:tcPr>
        <w:shd w:val="clear" w:color="ffffff" w:fill="67a4d8" w:themeFill="accent1" w:themeFillTint="EA"/>
      </w:tcPr>
    </w:tblStylePr>
    <w:tblStylePr w:type="firstRow">
      <w:rPr>
        <w:sz w:val="22"/>
      </w:rPr>
      <w:tcPr>
        <w:shd w:val="clear" w:color="ffffff" w:fill="67a4d8" w:themeFill="accent1" w:themeFillTint="EA"/>
      </w:tcPr>
    </w:tblStylePr>
    <w:tblStylePr w:type="lastCol">
      <w:rPr>
        <w:sz w:val="22"/>
      </w:rPr>
      <w:tcPr>
        <w:shd w:val="clear" w:color="ffffff" w:fill="67a4d8" w:themeFill="accent1" w:themeFillTint="EA"/>
      </w:tcPr>
    </w:tblStylePr>
    <w:tblStylePr w:type="lastRow">
      <w:rPr>
        <w:sz w:val="22"/>
      </w:rPr>
      <w:tcPr>
        <w:shd w:val="clear" w:color="ffffff" w:fill="67a4d8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be5d6" w:themeFill="accent2" w:themeFillTint="32"/>
      </w:tcPr>
    </w:tblStylePr>
    <w:tblStylePr w:type="band2Vert">
      <w:rPr>
        <w:sz w:val="22"/>
      </w:rPr>
      <w:tcPr>
        <w:shd w:val="clear" w:color="ffffff" w:fill="fbe5d6" w:themeFill="accent2" w:themeFillTint="32"/>
      </w:tcPr>
    </w:tblStylePr>
    <w:tblStylePr w:type="firstCol">
      <w:rPr>
        <w:sz w:val="22"/>
      </w:rPr>
      <w:tcPr>
        <w:shd w:val="clear" w:color="ffffff" w:fill="f4b185" w:themeFill="accent2" w:themeFillTint="97"/>
      </w:tcPr>
    </w:tblStylePr>
    <w:tblStylePr w:type="firstRow">
      <w:rPr>
        <w:sz w:val="22"/>
      </w:rPr>
      <w:tcPr>
        <w:shd w:val="clear" w:color="ffffff" w:fill="f4b185" w:themeFill="accent2" w:themeFillTint="97"/>
      </w:tcPr>
    </w:tblStylePr>
    <w:tblStylePr w:type="lastCol">
      <w:rPr>
        <w:sz w:val="22"/>
      </w:rPr>
      <w:tcPr>
        <w:shd w:val="clear" w:color="ffffff" w:fill="f4b185" w:themeFill="accent2" w:themeFillTint="97"/>
      </w:tcPr>
    </w:tblStylePr>
    <w:tblStylePr w:type="lastRow">
      <w:rPr>
        <w:sz w:val="22"/>
      </w:rPr>
      <w:tcPr>
        <w:shd w:val="clear" w:color="ffffff" w:fill="f4b185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deded" w:themeFill="accent3" w:themeFillTint="34"/>
      </w:tcPr>
    </w:tblStylePr>
    <w:tblStylePr w:type="band2Vert">
      <w:rPr>
        <w:sz w:val="22"/>
      </w:rPr>
      <w:tcPr>
        <w:shd w:val="clear" w:color="ffffff" w:fill="ededed" w:themeFill="accent3" w:themeFillTint="34"/>
      </w:tcPr>
    </w:tblStylePr>
    <w:tblStylePr w:type="firstCol">
      <w:rPr>
        <w:sz w:val="22"/>
      </w:rPr>
      <w:tcPr>
        <w:shd w:val="clear" w:color="ffffff" w:fill="a5a5a5" w:themeFill="accent3" w:themeFillTint="FE"/>
      </w:tcPr>
    </w:tblStylePr>
    <w:tblStylePr w:type="firstRow">
      <w:rPr>
        <w:sz w:val="22"/>
      </w:rPr>
      <w:tcPr>
        <w:shd w:val="clear" w:color="ffffff" w:fill="a5a5a5" w:themeFill="accent3" w:themeFillTint="FE"/>
      </w:tcPr>
    </w:tblStylePr>
    <w:tblStylePr w:type="lastCol">
      <w:rPr>
        <w:sz w:val="22"/>
      </w:rPr>
      <w:tcPr>
        <w:shd w:val="clear" w:color="ffffff" w:fill="a5a5a5" w:themeFill="accent3" w:themeFillTint="FE"/>
      </w:tcPr>
    </w:tblStylePr>
    <w:tblStylePr w:type="lastRow">
      <w:rPr>
        <w:sz w:val="22"/>
      </w:rPr>
      <w:tcPr>
        <w:shd w:val="clear" w:color="ffffff" w:fill="a5a5a5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ef2cb" w:themeFill="accent4" w:themeFillTint="34"/>
      </w:tcPr>
    </w:tblStylePr>
    <w:tblStylePr w:type="band2Vert">
      <w:rPr>
        <w:sz w:val="22"/>
      </w:rPr>
      <w:tcPr>
        <w:shd w:val="clear" w:color="ffffff" w:fill="fef2cb" w:themeFill="accent4" w:themeFillTint="34"/>
      </w:tcPr>
    </w:tblStylePr>
    <w:tblStylePr w:type="firstCol">
      <w:rPr>
        <w:sz w:val="22"/>
      </w:rPr>
      <w:tcPr>
        <w:shd w:val="clear" w:color="ffffff" w:fill="ffd864" w:themeFill="accent4" w:themeFillTint="9A"/>
      </w:tcPr>
    </w:tblStylePr>
    <w:tblStylePr w:type="firstRow">
      <w:rPr>
        <w:sz w:val="22"/>
      </w:rPr>
      <w:tcPr>
        <w:shd w:val="clear" w:color="ffffff" w:fill="ffd864" w:themeFill="accent4" w:themeFillTint="9A"/>
      </w:tcPr>
    </w:tblStylePr>
    <w:tblStylePr w:type="lastCol">
      <w:rPr>
        <w:sz w:val="22"/>
      </w:rPr>
      <w:tcPr>
        <w:shd w:val="clear" w:color="ffffff" w:fill="ffd864" w:themeFill="accent4" w:themeFillTint="9A"/>
      </w:tcPr>
    </w:tblStylePr>
    <w:tblStylePr w:type="lastRow">
      <w:rPr>
        <w:sz w:val="22"/>
      </w:rPr>
      <w:tcPr>
        <w:shd w:val="clear" w:color="ffffff" w:fill="ffd864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9e2f2" w:themeFill="accent5" w:themeFillTint="34"/>
      </w:tcPr>
    </w:tblStylePr>
    <w:tblStylePr w:type="band2Vert">
      <w:rPr>
        <w:sz w:val="22"/>
      </w:rPr>
      <w:tcPr>
        <w:shd w:val="clear" w:color="ffffff" w:fill="d9e2f2" w:themeFill="accent5" w:themeFillTint="34"/>
      </w:tcPr>
    </w:tblStylePr>
    <w:tblStylePr w:type="firstCol">
      <w:rPr>
        <w:sz w:val="22"/>
      </w:rPr>
      <w:tcPr>
        <w:shd w:val="clear" w:color="ffffff" w:fill="4472c4" w:themeFill="accent5"/>
      </w:tcPr>
    </w:tblStylePr>
    <w:tblStylePr w:type="firstRow">
      <w:rPr>
        <w:sz w:val="22"/>
      </w:rPr>
      <w:tcPr>
        <w:shd w:val="clear" w:color="ffffff" w:fill="4472c4" w:themeFill="accent5"/>
      </w:tcPr>
    </w:tblStylePr>
    <w:tblStylePr w:type="lastCol">
      <w:rPr>
        <w:sz w:val="22"/>
      </w:rPr>
      <w:tcPr>
        <w:shd w:val="clear" w:color="ffffff" w:fill="4472c4" w:themeFill="accent5"/>
      </w:tcPr>
    </w:tblStylePr>
    <w:tblStylePr w:type="lastRow">
      <w:rPr>
        <w:sz w:val="22"/>
      </w:rPr>
      <w:tcPr>
        <w:shd w:val="clear" w:color="ffffff" w:fill="4472c4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2efd8" w:themeFill="accent6" w:themeFillTint="34"/>
      </w:tcPr>
    </w:tblStylePr>
    <w:tblStylePr w:type="band2Vert">
      <w:rPr>
        <w:sz w:val="22"/>
      </w:rPr>
      <w:tcPr>
        <w:shd w:val="clear" w:color="ffffff" w:fill="e2efd8" w:themeFill="accent6" w:themeFillTint="34"/>
      </w:tcPr>
    </w:tblStylePr>
    <w:tblStylePr w:type="firstCol">
      <w:rPr>
        <w:sz w:val="22"/>
      </w:rPr>
      <w:tcPr>
        <w:shd w:val="clear" w:color="ffffff" w:fill="70ad47" w:themeFill="accent6"/>
      </w:tcPr>
    </w:tblStylePr>
    <w:tblStylePr w:type="firstRow">
      <w:rPr>
        <w:sz w:val="22"/>
      </w:rPr>
      <w:tcPr>
        <w:shd w:val="clear" w:color="ffffff" w:fill="70ad47" w:themeFill="accent6"/>
      </w:tcPr>
    </w:tblStylePr>
    <w:tblStylePr w:type="lastCol">
      <w:rPr>
        <w:sz w:val="22"/>
      </w:rPr>
      <w:tcPr>
        <w:shd w:val="clear" w:color="ffffff" w:fill="70ad47" w:themeFill="accent6"/>
      </w:tcPr>
    </w:tblStylePr>
    <w:tblStylePr w:type="lastRow">
      <w:rPr>
        <w:sz w:val="22"/>
      </w:rPr>
      <w:tcPr>
        <w:shd w:val="clear" w:color="ffffff" w:fill="70ad47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www.ogk2.ru/" TargetMode="External"/><Relationship Id="rId13" Type="http://schemas.openxmlformats.org/officeDocument/2006/relationships/hyperlink" Target="https://www.e-disclosure.ru/portal/company.aspx?id=72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dc:description/>
  <dc:language>ru-RU</dc:language>
  <cp:revision>362</cp:revision>
  <dcterms:created xsi:type="dcterms:W3CDTF">2020-02-27T13:07:00Z</dcterms:created>
  <dcterms:modified xsi:type="dcterms:W3CDTF">2024-03-12T14:05:16Z</dcterms:modified>
</cp:coreProperties>
</file>