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284"/>
        <w:jc w:val="center"/>
        <w:rPr>
          <w:b/>
          <w:color w:val="000000"/>
        </w:rPr>
      </w:pPr>
      <w:r/>
      <w:bookmarkStart w:id="0" w:name="_GoBack"/>
      <w:r>
        <w:rPr>
          <w:b/>
          <w:bCs/>
        </w:rPr>
        <w:t xml:space="preserve">Сообщение о существенном </w:t>
      </w:r>
      <w:r>
        <w:rPr>
          <w:b/>
          <w:bCs/>
        </w:rPr>
        <w:t xml:space="preserve">факте</w:t>
      </w:r>
      <w:r>
        <w:rPr>
          <w:b/>
          <w:bCs/>
        </w:rPr>
        <w:br/>
        <w:t xml:space="preserve">«</w:t>
      </w:r>
      <w:r>
        <w:rPr>
          <w:b/>
          <w:color w:val="000000"/>
        </w:rPr>
        <w:t xml:space="preserve">Об отдельных решениях, принятых советом директоров эмитента»</w:t>
      </w:r>
      <w:r/>
    </w:p>
    <w:p>
      <w:pPr>
        <w:ind w:left="-284"/>
        <w:jc w:val="center"/>
        <w:rPr>
          <w:b/>
          <w:color w:val="000000"/>
          <w:sz w:val="6"/>
        </w:rPr>
      </w:pPr>
      <w:r>
        <w:rPr>
          <w:b/>
          <w:color w:val="000000"/>
          <w:sz w:val="6"/>
        </w:rPr>
      </w:r>
      <w:r/>
    </w:p>
    <w:tbl>
      <w:tblPr>
        <w:tblW w:w="10348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102"/>
      </w:tblGrid>
      <w:tr>
        <w:trPr/>
        <w:tc>
          <w:tcPr>
            <w:gridSpan w:val="2"/>
            <w:tcW w:w="10348" w:type="dxa"/>
            <w:textDirection w:val="lrTb"/>
            <w:noWrap w:val="false"/>
          </w:tcPr>
          <w:p>
            <w:pPr>
              <w:ind w:left="-61"/>
              <w:jc w:val="center"/>
            </w:pPr>
            <w:r>
              <w:t xml:space="preserve">1. Общие сведения</w:t>
            </w:r>
            <w:r/>
          </w:p>
        </w:tc>
      </w:tr>
      <w:tr>
        <w:trPr>
          <w:trHeight w:val="634"/>
        </w:trPr>
        <w:tc>
          <w:tcPr>
            <w:shd w:val="clear" w:color="auto" w:fill="auto"/>
            <w:tcW w:w="5246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t xml:space="preserve">1.1. Полное фирменное наименование (для коммерческой организации) или наименование (для некоммерческой организации) эмитента</w:t>
            </w:r>
            <w:r/>
          </w:p>
        </w:tc>
        <w:tc>
          <w:tcPr>
            <w:shd w:val="clear" w:color="auto" w:fill="auto"/>
            <w:tcW w:w="5102" w:type="dxa"/>
            <w:textDirection w:val="lrTb"/>
            <w:noWrap w:val="false"/>
          </w:tcPr>
          <w:p>
            <w:pPr>
              <w:ind w:left="40" w:right="85"/>
              <w:rPr>
                <w:rStyle w:val="917"/>
                <w:sz w:val="20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Публичное акционерное общество «Вторая генерирующая компания оптового рынка электроэнергии»</w:t>
            </w:r>
            <w:r/>
          </w:p>
        </w:tc>
      </w:tr>
      <w:tr>
        <w:trPr/>
        <w:tc>
          <w:tcPr>
            <w:shd w:val="clear" w:color="auto" w:fill="auto"/>
            <w:tcW w:w="5246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t xml:space="preserve">1.2. Адрес эмитента, указанный в едином государственном реестре юридических лиц</w:t>
            </w:r>
            <w:r/>
          </w:p>
        </w:tc>
        <w:tc>
          <w:tcPr>
            <w:shd w:val="clear" w:color="auto" w:fill="auto"/>
            <w:tcW w:w="5102" w:type="dxa"/>
            <w:textDirection w:val="lrTb"/>
            <w:noWrap w:val="false"/>
          </w:tcPr>
          <w:p>
            <w:pPr>
              <w:ind w:left="40" w:right="85"/>
              <w:rPr>
                <w:rStyle w:val="917"/>
                <w:sz w:val="20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196605, г. Санкт-Петербург, </w:t>
            </w:r>
            <w:r>
              <w:rPr>
                <w:b/>
                <w:color w:val="000000"/>
                <w:shd w:val="clear" w:color="auto" w:fill="ffffff"/>
              </w:rPr>
              <w:t xml:space="preserve">вн.тер.г</w:t>
            </w:r>
            <w:r>
              <w:rPr>
                <w:b/>
                <w:color w:val="000000"/>
                <w:shd w:val="clear" w:color="auto" w:fill="ffffff"/>
              </w:rPr>
              <w:t xml:space="preserve">. поселок </w:t>
            </w:r>
            <w:r>
              <w:rPr>
                <w:b/>
                <w:color w:val="000000"/>
                <w:shd w:val="clear" w:color="auto" w:fill="ffffff"/>
              </w:rPr>
              <w:t xml:space="preserve">Шушары</w:t>
            </w:r>
            <w:r>
              <w:rPr>
                <w:b/>
                <w:color w:val="000000"/>
                <w:shd w:val="clear" w:color="auto" w:fill="ffffff"/>
              </w:rPr>
              <w:t xml:space="preserve">, ш Петербургское, д. 66, к. 1, литера А, этаж 7, </w:t>
            </w:r>
            <w:r>
              <w:rPr>
                <w:b/>
                <w:color w:val="000000"/>
                <w:shd w:val="clear" w:color="auto" w:fill="ffffff"/>
              </w:rPr>
              <w:t xml:space="preserve">помещ</w:t>
            </w:r>
            <w:r>
              <w:rPr>
                <w:b/>
                <w:color w:val="000000"/>
                <w:shd w:val="clear" w:color="auto" w:fill="ffffff"/>
              </w:rPr>
              <w:t xml:space="preserve">. 36-Н, </w:t>
            </w:r>
            <w:r>
              <w:rPr>
                <w:b/>
                <w:color w:val="000000"/>
                <w:shd w:val="clear" w:color="auto" w:fill="ffffff"/>
              </w:rPr>
              <w:t xml:space="preserve">каб</w:t>
            </w:r>
            <w:r>
              <w:rPr>
                <w:b/>
                <w:color w:val="000000"/>
                <w:shd w:val="clear" w:color="auto" w:fill="ffffff"/>
              </w:rPr>
              <w:t xml:space="preserve">. 701</w:t>
            </w:r>
            <w:r/>
          </w:p>
        </w:tc>
      </w:tr>
      <w:tr>
        <w:trPr/>
        <w:tc>
          <w:tcPr>
            <w:shd w:val="clear" w:color="auto" w:fill="auto"/>
            <w:tcW w:w="5246" w:type="dxa"/>
            <w:textDirection w:val="lrTb"/>
            <w:noWrap w:val="false"/>
          </w:tcPr>
          <w:p>
            <w:pPr>
              <w:jc w:val="both"/>
            </w:pPr>
            <w:r>
              <w:t xml:space="preserve">1.3. Основной государственный регистрационный номер (ОГРН) эмитента (при наличии) </w:t>
            </w:r>
            <w:r/>
          </w:p>
        </w:tc>
        <w:tc>
          <w:tcPr>
            <w:shd w:val="clear" w:color="auto" w:fill="auto"/>
            <w:tcW w:w="5102" w:type="dxa"/>
            <w:textDirection w:val="lrTb"/>
            <w:noWrap w:val="false"/>
          </w:tcPr>
          <w:p>
            <w:pPr>
              <w:ind w:left="40" w:right="85"/>
              <w:rPr>
                <w:b/>
                <w:bCs/>
                <w:iCs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1052600002180</w:t>
            </w:r>
            <w:r/>
          </w:p>
        </w:tc>
      </w:tr>
      <w:tr>
        <w:trPr>
          <w:trHeight w:val="70"/>
        </w:trPr>
        <w:tc>
          <w:tcPr>
            <w:shd w:val="clear" w:color="auto" w:fill="auto"/>
            <w:tcW w:w="5246" w:type="dxa"/>
            <w:textDirection w:val="lrTb"/>
            <w:noWrap w:val="false"/>
          </w:tcPr>
          <w:p>
            <w:pPr>
              <w:jc w:val="both"/>
            </w:pPr>
            <w:r>
              <w:t xml:space="preserve">1.4. Идентификационный номер налогоплательщика (ИНН) эмитента (при наличии)</w:t>
            </w:r>
            <w:r/>
          </w:p>
        </w:tc>
        <w:tc>
          <w:tcPr>
            <w:shd w:val="clear" w:color="auto" w:fill="auto"/>
            <w:tcW w:w="5102" w:type="dxa"/>
            <w:textDirection w:val="lrTb"/>
            <w:noWrap w:val="false"/>
          </w:tcPr>
          <w:p>
            <w:pPr>
              <w:ind w:left="40" w:right="85"/>
              <w:rPr>
                <w:b/>
                <w:bCs/>
                <w:iCs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2607018122</w:t>
            </w:r>
            <w:r/>
          </w:p>
        </w:tc>
      </w:tr>
      <w:tr>
        <w:trPr/>
        <w:tc>
          <w:tcPr>
            <w:shd w:val="clear" w:color="auto" w:fill="auto"/>
            <w:tcW w:w="5246" w:type="dxa"/>
            <w:textDirection w:val="lrTb"/>
            <w:noWrap w:val="false"/>
          </w:tcPr>
          <w:p>
            <w:pPr>
              <w:jc w:val="both"/>
            </w:pPr>
            <w:r>
              <w:t xml:space="preserve">1.5. Уникальный код эмитента, присвоенный Банком России</w:t>
            </w:r>
            <w:r/>
          </w:p>
        </w:tc>
        <w:tc>
          <w:tcPr>
            <w:shd w:val="clear" w:color="auto" w:fill="auto"/>
            <w:tcW w:w="5102" w:type="dxa"/>
            <w:textDirection w:val="lrTb"/>
            <w:noWrap w:val="false"/>
          </w:tcPr>
          <w:p>
            <w:pPr>
              <w:ind w:left="40" w:right="85"/>
              <w:rPr>
                <w:b/>
                <w:color w:val="000000"/>
                <w:shd w:val="clear" w:color="auto" w:fill="ffffff"/>
                <w:lang w:val="en-US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65105-D</w:t>
            </w:r>
            <w:r/>
          </w:p>
        </w:tc>
      </w:tr>
      <w:tr>
        <w:trPr/>
        <w:tc>
          <w:tcPr>
            <w:shd w:val="clear" w:color="auto" w:fill="auto"/>
            <w:tcW w:w="5246" w:type="dxa"/>
            <w:textDirection w:val="lrTb"/>
            <w:noWrap w:val="false"/>
          </w:tcPr>
          <w:p>
            <w:r>
              <w:t xml:space="preserve">1.6. Адрес страницы в сети Интернет, используемой эмитентом для раскрытия информации</w:t>
            </w:r>
            <w:r/>
          </w:p>
        </w:tc>
        <w:tc>
          <w:tcPr>
            <w:shd w:val="clear" w:color="auto" w:fill="auto"/>
            <w:tcW w:w="5102" w:type="dxa"/>
            <w:textDirection w:val="lrTb"/>
            <w:noWrap w:val="false"/>
          </w:tcPr>
          <w:p>
            <w:pPr>
              <w:ind w:right="57"/>
              <w:rPr>
                <w:b/>
                <w:bCs/>
                <w:iCs/>
              </w:rPr>
            </w:pPr>
            <w:r/>
            <w:hyperlink r:id="rId12" w:tooltip="https://www.ogk2.ru" w:history="1">
              <w:r>
                <w:rPr>
                  <w:rStyle w:val="907"/>
                  <w:b/>
                  <w:bCs/>
                  <w:iCs/>
                </w:rPr>
                <w:t xml:space="preserve">http</w:t>
              </w:r>
              <w:r>
                <w:rPr>
                  <w:rStyle w:val="907"/>
                  <w:b/>
                  <w:bCs/>
                  <w:iCs/>
                  <w:lang w:val="en-US"/>
                </w:rPr>
                <w:t xml:space="preserve">s</w:t>
              </w:r>
              <w:r>
                <w:rPr>
                  <w:rStyle w:val="907"/>
                  <w:b/>
                  <w:bCs/>
                  <w:iCs/>
                </w:rPr>
                <w:t xml:space="preserve">://www.ogk2.ru</w:t>
              </w:r>
            </w:hyperlink>
            <w:r/>
            <w:r/>
          </w:p>
          <w:p>
            <w:pPr>
              <w:ind w:right="85"/>
              <w:rPr>
                <w:b/>
                <w:bCs/>
                <w:iCs/>
              </w:rPr>
            </w:pPr>
            <w:r/>
            <w:hyperlink r:id="rId13" w:tooltip="https://www.e-disclosure.ru/portal/company.aspx?id=7234" w:history="1">
              <w:r>
                <w:rPr>
                  <w:rStyle w:val="907"/>
                  <w:b/>
                  <w:bCs/>
                  <w:iCs/>
                </w:rPr>
                <w:t xml:space="preserve">http</w:t>
              </w:r>
              <w:r>
                <w:rPr>
                  <w:rStyle w:val="907"/>
                  <w:b/>
                  <w:bCs/>
                  <w:iCs/>
                  <w:lang w:val="en-US"/>
                </w:rPr>
                <w:t xml:space="preserve">s</w:t>
              </w:r>
              <w:r>
                <w:rPr>
                  <w:rStyle w:val="907"/>
                  <w:b/>
                  <w:bCs/>
                  <w:iCs/>
                </w:rPr>
                <w:t xml:space="preserve">://www.e-disclosure.ru/portal/company.aspx?id=7234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W w:w="5246" w:type="dxa"/>
            <w:textDirection w:val="lrTb"/>
            <w:noWrap w:val="false"/>
          </w:tcPr>
          <w:p>
            <w:pPr>
              <w:jc w:val="both"/>
            </w:pPr>
            <w:r>
              <w:t xml:space="preserve">1.7. Дата наступления события (существенного факта), о котором составлено сообщение</w:t>
            </w:r>
            <w:r/>
          </w:p>
        </w:tc>
        <w:tc>
          <w:tcPr>
            <w:shd w:val="clear" w:color="auto" w:fill="auto"/>
            <w:tcW w:w="5102" w:type="dxa"/>
            <w:textDirection w:val="lrTb"/>
            <w:noWrap w:val="false"/>
          </w:tcPr>
          <w:p>
            <w:pPr>
              <w:ind w:left="40" w:right="85"/>
              <w:rPr>
                <w:rStyle w:val="907"/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27.12.</w:t>
            </w:r>
            <w:r>
              <w:rPr>
                <w:b/>
                <w:color w:val="000000"/>
                <w:shd w:val="clear" w:color="auto" w:fill="ffffff"/>
              </w:rPr>
              <w:t xml:space="preserve">2024</w:t>
            </w:r>
            <w:r/>
          </w:p>
        </w:tc>
      </w:tr>
    </w:tbl>
    <w:p>
      <w:pPr>
        <w:rPr>
          <w:sz w:val="12"/>
        </w:rPr>
      </w:pPr>
      <w:r>
        <w:rPr>
          <w:sz w:val="12"/>
        </w:rPr>
      </w:r>
      <w:r/>
    </w:p>
    <w:tbl>
      <w:tblPr>
        <w:tblW w:w="10343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3"/>
      </w:tblGrid>
      <w:tr>
        <w:trPr/>
        <w:tc>
          <w:tcPr>
            <w:tcW w:w="10343" w:type="dxa"/>
            <w:textDirection w:val="lrTb"/>
            <w:noWrap w:val="false"/>
          </w:tcPr>
          <w:p>
            <w:pPr>
              <w:jc w:val="center"/>
            </w:pPr>
            <w:r>
              <w:t xml:space="preserve">2. Содержание сообщения</w:t>
            </w:r>
            <w:r/>
          </w:p>
        </w:tc>
      </w:tr>
      <w:tr>
        <w:trPr>
          <w:trHeight w:val="554"/>
        </w:trPr>
        <w:tc>
          <w:tcPr>
            <w:tcW w:w="10343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Сведения о кворуме заседания Совета директоров эмитента:</w:t>
            </w:r>
            <w:r>
              <w:rPr>
                <w:sz w:val="20"/>
                <w:szCs w:val="20"/>
              </w:rPr>
            </w:r>
          </w:p>
          <w:p>
            <w:pPr>
              <w:ind w:right="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заочном голосовании приняли участие 11 из 11 членов Совета директоров ПАО «ОГК-2», приславшие в установленный срок заполненные бюллетени для голосования. КВОРУМ ИМЕЛСЯ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  <w:p>
            <w:pPr>
              <w:ind w:left="-28" w:right="57"/>
              <w:jc w:val="both"/>
              <w:tabs>
                <w:tab w:val="left" w:pos="54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 Содержание решений, принятых советом директоров эмитента:</w:t>
            </w:r>
            <w:r>
              <w:rPr>
                <w:sz w:val="20"/>
                <w:szCs w:val="20"/>
              </w:rPr>
            </w:r>
          </w:p>
          <w:p>
            <w:pPr>
              <w:ind w:left="-28" w:right="57"/>
              <w:jc w:val="both"/>
              <w:tabs>
                <w:tab w:val="left" w:pos="54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08"/>
              <w:jc w:val="both"/>
              <w:spacing w:after="0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Вопрос:</w:t>
            </w:r>
            <w:r>
              <w:rPr>
                <w:sz w:val="20"/>
                <w:szCs w:val="20"/>
              </w:rPr>
            </w:r>
          </w:p>
          <w:p>
            <w:pPr>
              <w:pStyle w:val="919"/>
              <w:numPr>
                <w:ilvl w:val="0"/>
                <w:numId w:val="30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 определении закупочной политики в Обществе.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19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</w:t>
            </w:r>
            <w:r>
              <w:rPr>
                <w:sz w:val="20"/>
                <w:szCs w:val="20"/>
              </w:rPr>
              <w:tab/>
              <w:t xml:space="preserve">О внесении изменений в Годовую комплексную программу закупок Общества под нужды 2024 года.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23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hd w:val="clear" w:color="auto" w:fill="ffffff"/>
              <w:widowControl w:val="off"/>
              <w:tabs>
                <w:tab w:val="left" w:pos="426" w:leader="none"/>
                <w:tab w:val="left" w:pos="851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Результаты голосования: За – 1</w:t>
            </w:r>
            <w:r>
              <w:rPr>
                <w:bCs/>
                <w:sz w:val="20"/>
                <w:szCs w:val="20"/>
              </w:rPr>
              <w:t xml:space="preserve">0, </w:t>
            </w:r>
            <w:r>
              <w:rPr>
                <w:bCs/>
                <w:sz w:val="20"/>
                <w:szCs w:val="20"/>
              </w:rPr>
              <w:t xml:space="preserve">Против</w:t>
            </w:r>
            <w:r>
              <w:rPr>
                <w:bCs/>
                <w:sz w:val="20"/>
                <w:szCs w:val="20"/>
              </w:rPr>
              <w:t xml:space="preserve"> – 0, Воздержался – </w:t>
            </w:r>
            <w:r>
              <w:rPr>
                <w:bCs/>
                <w:sz w:val="20"/>
                <w:szCs w:val="20"/>
              </w:rPr>
              <w:t xml:space="preserve">1, не учитывались при голосовании – 0.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hd w:val="clear" w:color="auto" w:fill="ffffff"/>
              <w:widowControl w:val="off"/>
              <w:tabs>
                <w:tab w:val="left" w:pos="426" w:leader="none"/>
                <w:tab w:val="left" w:pos="85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1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Принятое решение:</w:t>
            </w:r>
            <w:r>
              <w:rPr>
                <w:sz w:val="20"/>
                <w:szCs w:val="20"/>
              </w:rPr>
            </w:r>
          </w:p>
          <w:p>
            <w:pPr>
              <w:pStyle w:val="919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Утвердить корректировку Годовой комплексной программы закупок Общества под нужды 2024 года в соответствии с Приложением </w:t>
            </w:r>
            <w:r>
              <w:rPr>
                <w:sz w:val="20"/>
                <w:szCs w:val="20"/>
              </w:rPr>
              <w:t xml:space="preserve">1.1 к решению</w:t>
            </w:r>
            <w:r>
              <w:rPr>
                <w:sz w:val="20"/>
                <w:szCs w:val="20"/>
              </w:rPr>
              <w:t xml:space="preserve"> Совета директоров ПАО «ОГК-2»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08"/>
              <w:jc w:val="both"/>
              <w:spacing w:after="0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08"/>
              <w:jc w:val="both"/>
              <w:spacing w:after="0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Вопрос:</w:t>
            </w:r>
            <w:r>
              <w:rPr>
                <w:sz w:val="20"/>
                <w:szCs w:val="20"/>
              </w:rPr>
            </w:r>
          </w:p>
          <w:p>
            <w:pPr>
              <w:pStyle w:val="919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</w:t>
            </w:r>
            <w:r>
              <w:rPr>
                <w:sz w:val="20"/>
                <w:szCs w:val="20"/>
              </w:rPr>
              <w:tab/>
              <w:t xml:space="preserve">О внесении изменений в Годовую комплексную программу закупок Общества под нужды 2025 года.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23"/>
              <w:spacing w:before="20" w:after="2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Об утверждении скорректированного ключевого показателя деятельности «Погашение просроченной задолженности денежными средствами» Группы ОГК-2 на 2024 год.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hd w:val="clear" w:color="auto" w:fill="ffffff"/>
              <w:widowControl w:val="off"/>
              <w:tabs>
                <w:tab w:val="left" w:pos="426" w:leader="none"/>
                <w:tab w:val="left" w:pos="851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  <w:p>
            <w:pPr>
              <w:jc w:val="both"/>
              <w:shd w:val="clear" w:color="auto" w:fill="ffffff"/>
              <w:widowControl w:val="off"/>
              <w:tabs>
                <w:tab w:val="left" w:pos="426" w:leader="none"/>
                <w:tab w:val="left" w:pos="851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</w:rPr>
              <w:t xml:space="preserve">Результаты голосования: За – 1</w:t>
            </w:r>
            <w:r>
              <w:rPr>
                <w:bCs/>
                <w:sz w:val="20"/>
                <w:szCs w:val="20"/>
              </w:rPr>
              <w:t xml:space="preserve">0, </w:t>
            </w:r>
            <w:r>
              <w:rPr>
                <w:bCs/>
                <w:sz w:val="20"/>
                <w:szCs w:val="20"/>
              </w:rPr>
              <w:t xml:space="preserve">Против</w:t>
            </w:r>
            <w:r>
              <w:rPr>
                <w:bCs/>
                <w:sz w:val="20"/>
                <w:szCs w:val="20"/>
              </w:rPr>
              <w:t xml:space="preserve"> – 0, Воздержался – </w:t>
            </w:r>
            <w:r>
              <w:rPr>
                <w:bCs/>
                <w:sz w:val="20"/>
                <w:szCs w:val="20"/>
              </w:rPr>
              <w:t xml:space="preserve">1, не учитывались при голосовании – 0.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hd w:val="clear" w:color="auto" w:fill="ffffff"/>
              <w:widowControl w:val="off"/>
              <w:tabs>
                <w:tab w:val="left" w:pos="426" w:leader="none"/>
                <w:tab w:val="left" w:pos="85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1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Принятое решение:</w:t>
            </w:r>
            <w:r>
              <w:rPr>
                <w:sz w:val="20"/>
                <w:szCs w:val="20"/>
              </w:rPr>
            </w:r>
          </w:p>
          <w:p>
            <w:pPr>
              <w:pStyle w:val="919"/>
              <w:spacing w:before="20" w:after="2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Утвердить корректировку Годовой комплексной программы закупок Общества под нужды 2025 года в соответствии с Приложением № 1.2. </w:t>
            </w:r>
            <w:r>
              <w:rPr>
                <w:sz w:val="20"/>
                <w:szCs w:val="20"/>
              </w:rPr>
              <w:t xml:space="preserve">к решению</w:t>
            </w:r>
            <w:r>
              <w:rPr>
                <w:sz w:val="20"/>
                <w:szCs w:val="20"/>
              </w:rPr>
              <w:t xml:space="preserve"> Совета директоров</w:t>
            </w:r>
            <w:r>
              <w:rPr>
                <w:sz w:val="20"/>
                <w:szCs w:val="20"/>
              </w:rPr>
              <w:t xml:space="preserve"> ПАО «ОГК-2»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19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08"/>
              <w:jc w:val="both"/>
              <w:spacing w:after="0"/>
              <w:widowControl w:val="off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Вопрос:</w:t>
            </w:r>
            <w:r>
              <w:rPr>
                <w:b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19"/>
              <w:spacing w:before="20" w:after="2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Об утверждении ключевых показателей деятельности Субхолдинга ОГК-2, ПАО «ОГК-2» и Бюджета доходов расходов ПАО «ОГК-2» на 2025 год.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hd w:val="clear" w:color="auto" w:fill="ffffff"/>
              <w:widowControl w:val="off"/>
              <w:tabs>
                <w:tab w:val="left" w:pos="426" w:leader="none"/>
                <w:tab w:val="left" w:pos="851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  <w:p>
            <w:pPr>
              <w:jc w:val="both"/>
              <w:shd w:val="clear" w:color="auto" w:fill="ffffff"/>
              <w:widowControl w:val="off"/>
              <w:tabs>
                <w:tab w:val="left" w:pos="426" w:leader="none"/>
                <w:tab w:val="left" w:pos="851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</w:rPr>
              <w:t xml:space="preserve">Результаты голосования: За – 1</w:t>
            </w:r>
            <w:r>
              <w:rPr>
                <w:bCs/>
                <w:sz w:val="20"/>
                <w:szCs w:val="20"/>
              </w:rPr>
              <w:t xml:space="preserve">1, </w:t>
            </w:r>
            <w:r>
              <w:rPr>
                <w:bCs/>
                <w:sz w:val="20"/>
                <w:szCs w:val="20"/>
              </w:rPr>
              <w:t xml:space="preserve">Против</w:t>
            </w:r>
            <w:r>
              <w:rPr>
                <w:bCs/>
                <w:sz w:val="20"/>
                <w:szCs w:val="20"/>
              </w:rPr>
              <w:t xml:space="preserve"> – 0, Воздержался – </w:t>
            </w:r>
            <w:r>
              <w:rPr>
                <w:bCs/>
                <w:sz w:val="20"/>
                <w:szCs w:val="20"/>
              </w:rPr>
              <w:t xml:space="preserve">0, не учитывались при голосовании – 0.</w:t>
            </w:r>
            <w:r>
              <w:rPr>
                <w:bCs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hd w:val="clear" w:color="auto" w:fill="ffffff"/>
              <w:widowControl w:val="off"/>
              <w:tabs>
                <w:tab w:val="left" w:pos="426" w:leader="none"/>
                <w:tab w:val="left" w:pos="85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16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Принятое решение:</w:t>
            </w:r>
            <w:r>
              <w:rPr>
                <w:b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19"/>
              <w:spacing w:before="20" w:after="20"/>
              <w:tabs>
                <w:tab w:val="left" w:pos="42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  <w:tab/>
              <w:t xml:space="preserve">Утвердить параметры Бюджета доходов и расходов ПАО «ОГК-2» на 2025 год согласно Приложению № 2.1. к решению Совета директоров ПАО «ОГК-2».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19"/>
              <w:spacing w:before="20" w:after="20"/>
              <w:tabs>
                <w:tab w:val="left" w:pos="42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ab/>
              <w:t xml:space="preserve">Утвердить целевые значения ключевых показателей деятельности в функциональной области «бюджетирование» ПАО «ОГК-2» на 2025 год согласно Приложению № 2.2 к р</w:t>
            </w:r>
            <w:r>
              <w:rPr>
                <w:sz w:val="20"/>
                <w:szCs w:val="20"/>
              </w:rPr>
              <w:t xml:space="preserve">ешению Совета директоров ПАО «ОГК-2»</w:t>
            </w:r>
            <w:r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19"/>
              <w:spacing w:before="20" w:after="20"/>
              <w:tabs>
                <w:tab w:val="left" w:pos="42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</w:t>
            </w:r>
            <w:r>
              <w:rPr>
                <w:sz w:val="20"/>
                <w:szCs w:val="20"/>
              </w:rPr>
              <w:tab/>
              <w:t xml:space="preserve">Утвердить целевые значения ключевых показателей деятельности в функциональной области «бюджетирование» Субхолдинга ОГК-2 на 2025 год согласно Приложению № 2.3. к  решению Совету директору ПАО «ОГК-2».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19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19"/>
              <w:spacing w:before="20" w:after="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Вопрос: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923"/>
              <w:spacing w:before="20" w:after="20"/>
            </w:pPr>
            <w:r>
              <w:rPr>
                <w:rFonts w:eastAsia="Times New Roman" w:cs="Times New Roman"/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 xml:space="preserve">Об утверждении скорректированного ключевого показателя деятельности «Погашение просроченной задолженности денежными средствами» Группы ОГК-2 на 2024 год.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hd w:val="clear" w:color="auto" w:fill="ffffff"/>
              <w:widowControl w:val="off"/>
              <w:tabs>
                <w:tab w:val="left" w:pos="426" w:leader="none"/>
                <w:tab w:val="left" w:pos="851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  <w:p>
            <w:pPr>
              <w:jc w:val="both"/>
              <w:shd w:val="clear" w:color="auto" w:fill="ffffff"/>
              <w:widowControl w:val="off"/>
              <w:tabs>
                <w:tab w:val="left" w:pos="426" w:leader="none"/>
                <w:tab w:val="left" w:pos="851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</w:rPr>
              <w:t xml:space="preserve">Результаты голосования: За – 1</w:t>
            </w:r>
            <w:r>
              <w:rPr>
                <w:bCs/>
                <w:sz w:val="20"/>
                <w:szCs w:val="20"/>
              </w:rPr>
              <w:t xml:space="preserve">1, </w:t>
            </w:r>
            <w:r>
              <w:rPr>
                <w:bCs/>
                <w:sz w:val="20"/>
                <w:szCs w:val="20"/>
              </w:rPr>
              <w:t xml:space="preserve">Против</w:t>
            </w:r>
            <w:r>
              <w:rPr>
                <w:bCs/>
                <w:sz w:val="20"/>
                <w:szCs w:val="20"/>
              </w:rPr>
              <w:t xml:space="preserve"> – 0, Воздержался – </w:t>
            </w:r>
            <w:r>
              <w:rPr>
                <w:bCs/>
                <w:sz w:val="20"/>
                <w:szCs w:val="20"/>
              </w:rPr>
              <w:t xml:space="preserve">0, не учитывались при голосовании – 0.</w:t>
            </w:r>
            <w:r>
              <w:rPr>
                <w:bCs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hd w:val="clear" w:color="auto" w:fill="ffffff"/>
              <w:widowControl w:val="off"/>
              <w:tabs>
                <w:tab w:val="left" w:pos="426" w:leader="none"/>
                <w:tab w:val="left" w:pos="85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1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Принятое решение:</w:t>
            </w:r>
            <w:r>
              <w:rPr>
                <w:b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19"/>
              <w:spacing w:before="20" w:after="20"/>
              <w:rPr>
                <w:rFonts w:eastAsia="Times New Roman" w:cs="Times New Roman"/>
                <w:b/>
                <w:bCs/>
                <w:highlight w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Утвердить скорректированное целевое значение ключевого показателя деятельности «Погашение просроченной задолженности денежными средствами в функциональной области «бюджетирование» Группы ОГК-2 на 2024 год согласно Приложению № 3 к решению Совета директоров.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19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923"/>
              <w:spacing w:before="20" w:after="20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</w:rPr>
              <w:t xml:space="preserve">Вопрос:</w:t>
            </w:r>
            <w:r>
              <w:rPr>
                <w:sz w:val="20"/>
                <w:szCs w:val="20"/>
              </w:rPr>
            </w:r>
          </w:p>
          <w:p>
            <w:pPr>
              <w:pStyle w:val="919"/>
              <w:spacing w:before="20" w:after="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5. </w:t>
            </w:r>
            <w:r>
              <w:rPr>
                <w:sz w:val="20"/>
                <w:szCs w:val="20"/>
              </w:rPr>
              <w:t xml:space="preserve">Об утверждении Кодекса корпоративной этики Общества в новой редакции.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hd w:val="clear" w:color="auto" w:fill="ffffff"/>
              <w:widowControl w:val="off"/>
              <w:tabs>
                <w:tab w:val="left" w:pos="426" w:leader="none"/>
                <w:tab w:val="left" w:pos="851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hd w:val="clear" w:color="auto" w:fill="ffffff"/>
              <w:widowControl w:val="off"/>
              <w:tabs>
                <w:tab w:val="left" w:pos="426" w:leader="none"/>
                <w:tab w:val="left" w:pos="851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Результаты голосования: За – 1</w:t>
            </w:r>
            <w:r>
              <w:rPr>
                <w:bCs/>
                <w:sz w:val="20"/>
                <w:szCs w:val="20"/>
              </w:rPr>
              <w:t xml:space="preserve">1, </w:t>
            </w:r>
            <w:r>
              <w:rPr>
                <w:bCs/>
                <w:sz w:val="20"/>
                <w:szCs w:val="20"/>
              </w:rPr>
              <w:t xml:space="preserve">Против</w:t>
            </w:r>
            <w:r>
              <w:rPr>
                <w:bCs/>
                <w:sz w:val="20"/>
                <w:szCs w:val="20"/>
              </w:rPr>
              <w:t xml:space="preserve"> – 0, Воздержался –</w:t>
            </w:r>
            <w:r>
              <w:rPr>
                <w:bCs/>
                <w:sz w:val="20"/>
                <w:szCs w:val="20"/>
              </w:rPr>
              <w:t xml:space="preserve">0, не учитывались при голосовании – 0.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hd w:val="clear" w:color="auto" w:fill="ffffff"/>
              <w:widowControl w:val="off"/>
              <w:tabs>
                <w:tab w:val="left" w:pos="426" w:leader="none"/>
                <w:tab w:val="left" w:pos="85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16"/>
              <w:rPr>
                <w:bCs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</w:rPr>
              <w:t xml:space="preserve">Принятое решение:</w:t>
            </w:r>
            <w:r>
              <w:rPr>
                <w:b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19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Утвердить Кодекс корпоративной этики ПАО «ОГК-2» в новой редакции в соответствии с Приложением № 5 решению Совета директоров ПАО «ОГК-2».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23"/>
              <w:spacing w:before="20" w:after="20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  <w:p>
            <w:pPr>
              <w:pStyle w:val="923"/>
              <w:spacing w:before="20" w:after="20"/>
            </w:pPr>
            <w:r>
              <w:rPr>
                <w:b/>
                <w:sz w:val="20"/>
                <w:szCs w:val="20"/>
              </w:rPr>
              <w:t xml:space="preserve">Вопрос: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23"/>
              <w:spacing w:before="20" w:after="20"/>
            </w:pPr>
            <w:r>
              <w:rPr>
                <w:sz w:val="20"/>
                <w:szCs w:val="20"/>
                <w:highlight w:val="none"/>
              </w:rPr>
              <w:t xml:space="preserve">7.</w:t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</w:rPr>
              <w:t xml:space="preserve">Об утверждении отчета управляющей организации об оказании услуг по договору о передаче полномочий единоличного исполнительного органа Общества.</w:t>
            </w:r>
            <w:r>
              <w:rPr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  <w:p>
            <w:pPr>
              <w:pStyle w:val="919"/>
              <w:spacing w:before="20" w:after="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hd w:val="clear" w:color="auto" w:fill="ffffff"/>
              <w:widowControl w:val="off"/>
              <w:tabs>
                <w:tab w:val="left" w:pos="426" w:leader="none"/>
                <w:tab w:val="left" w:pos="851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Результаты голосования: За – 1</w:t>
            </w:r>
            <w:r>
              <w:rPr>
                <w:bCs/>
                <w:sz w:val="20"/>
                <w:szCs w:val="20"/>
              </w:rPr>
              <w:t xml:space="preserve">1, </w:t>
            </w:r>
            <w:r>
              <w:rPr>
                <w:bCs/>
                <w:sz w:val="20"/>
                <w:szCs w:val="20"/>
              </w:rPr>
              <w:t xml:space="preserve">Против</w:t>
            </w:r>
            <w:r>
              <w:rPr>
                <w:bCs/>
                <w:sz w:val="20"/>
                <w:szCs w:val="20"/>
              </w:rPr>
              <w:t xml:space="preserve"> – 0, Воздержался – </w:t>
            </w:r>
            <w:r>
              <w:rPr>
                <w:bCs/>
                <w:sz w:val="20"/>
                <w:szCs w:val="20"/>
              </w:rPr>
              <w:t xml:space="preserve">0, не учитывались при голосовании – 0.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hd w:val="clear" w:color="auto" w:fill="ffffff"/>
              <w:widowControl w:val="off"/>
              <w:tabs>
                <w:tab w:val="left" w:pos="426" w:leader="none"/>
                <w:tab w:val="left" w:pos="85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1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Принятое решение: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19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Утвердить отчет управляющей организации, осуществляющей закрепленные Уставом Общества, иными локальными документами ПАО «ОГК-2» и действующим законода</w:t>
            </w:r>
            <w:r>
              <w:rPr>
                <w:sz w:val="20"/>
                <w:szCs w:val="20"/>
              </w:rPr>
              <w:t xml:space="preserve">тельством Российской Федерации полномочия единоличного исполнительного органа ПАО «ОГК-2», за период с 16.07.2024 по 15.10.2024 (Приложение №7).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23"/>
              <w:spacing w:before="20" w:after="2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  <w:p>
            <w:pPr>
              <w:ind w:right="57" w:firstLine="21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2.3. Дата проведения заседания совета директоров эмитента, на котором приняты решения: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27.12</w:t>
            </w:r>
            <w:r>
              <w:rPr>
                <w:b/>
                <w:color w:val="000000"/>
                <w:sz w:val="20"/>
                <w:szCs w:val="20"/>
              </w:rPr>
              <w:t xml:space="preserve">.2024</w:t>
            </w:r>
            <w:r>
              <w:rPr>
                <w:sz w:val="20"/>
                <w:szCs w:val="20"/>
              </w:rPr>
            </w:r>
          </w:p>
          <w:p>
            <w:pPr>
              <w:ind w:right="57" w:firstLine="21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>
              <w:rPr>
                <w:b/>
                <w:sz w:val="20"/>
                <w:szCs w:val="20"/>
              </w:rPr>
              <w:t xml:space="preserve">Протокол от </w:t>
            </w:r>
            <w:r>
              <w:rPr>
                <w:b/>
                <w:sz w:val="20"/>
                <w:szCs w:val="20"/>
              </w:rPr>
              <w:t xml:space="preserve">27.12</w:t>
            </w:r>
            <w:r>
              <w:rPr>
                <w:b/>
                <w:sz w:val="20"/>
                <w:szCs w:val="20"/>
              </w:rPr>
              <w:t xml:space="preserve">.2024 № 33</w:t>
            </w:r>
            <w:r>
              <w:rPr>
                <w:b/>
                <w:sz w:val="20"/>
                <w:szCs w:val="20"/>
              </w:rPr>
              <w:t xml:space="preserve">5.</w:t>
            </w:r>
            <w:r>
              <w:rPr>
                <w:sz w:val="20"/>
                <w:szCs w:val="20"/>
              </w:rPr>
            </w:r>
          </w:p>
          <w:p>
            <w:pPr>
              <w:ind w:right="57" w:firstLine="21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</w:tbl>
    <w:p>
      <w:pPr>
        <w:rPr>
          <w:sz w:val="14"/>
        </w:rPr>
      </w:pPr>
      <w:r>
        <w:rPr>
          <w:sz w:val="14"/>
        </w:rPr>
      </w:r>
      <w:r/>
    </w:p>
    <w:tbl>
      <w:tblPr>
        <w:tblW w:w="10343" w:type="dxa"/>
        <w:tblInd w:w="-1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83"/>
        <w:gridCol w:w="271"/>
        <w:gridCol w:w="1317"/>
        <w:gridCol w:w="416"/>
        <w:gridCol w:w="307"/>
        <w:gridCol w:w="1209"/>
        <w:gridCol w:w="1338"/>
        <w:gridCol w:w="462"/>
        <w:gridCol w:w="3072"/>
        <w:gridCol w:w="534"/>
      </w:tblGrid>
      <w:tr>
        <w:trPr>
          <w:cantSplit/>
          <w:trHeight w:val="248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3" w:type="dxa"/>
            <w:textDirection w:val="lrTb"/>
            <w:noWrap w:val="false"/>
          </w:tcPr>
          <w:p>
            <w:pPr>
              <w:jc w:val="center"/>
            </w:pPr>
            <w:r>
              <w:t xml:space="preserve">3. Подпись</w:t>
            </w:r>
            <w:r/>
          </w:p>
        </w:tc>
      </w:tr>
      <w:tr>
        <w:trPr>
          <w:cantSplit/>
          <w:trHeight w:val="859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</w:tcBorders>
            <w:tcW w:w="4937" w:type="dxa"/>
            <w:textDirection w:val="lrTb"/>
            <w:noWrap w:val="false"/>
          </w:tcPr>
          <w:p>
            <w:pPr>
              <w:pStyle w:val="916"/>
              <w:rPr>
                <w:b/>
                <w:color w:val="000000"/>
              </w:rPr>
            </w:pPr>
            <w:r>
              <w:rPr>
                <w:b/>
                <w:szCs w:val="22"/>
              </w:rPr>
              <w:t xml:space="preserve">3.1. </w:t>
            </w:r>
            <w:r>
              <w:rPr>
                <w:b/>
                <w:color w:val="000000"/>
              </w:rPr>
              <w:t xml:space="preserve">Начальник Управления корпоративных и имущественных отношений, действующий на основании доверенности </w:t>
            </w:r>
            <w:r/>
          </w:p>
          <w:p>
            <w:pPr>
              <w:pStyle w:val="916"/>
            </w:pPr>
            <w:r>
              <w:rPr>
                <w:b/>
                <w:color w:val="000000"/>
              </w:rPr>
              <w:t xml:space="preserve">№ 78/66-н/78-2022-3-513 от 07.06.2022</w:t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3072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szCs w:val="22"/>
              </w:rPr>
              <w:t xml:space="preserve">Е.Н. Егорова</w:t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534" w:type="dxa"/>
            <w:vAlign w:val="bottom"/>
            <w:textDirection w:val="lrTb"/>
            <w:noWrap w:val="false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</w:tr>
      <w:tr>
        <w:trPr>
          <w:cantSplit/>
          <w:trHeight w:val="280" w:hRule="exact"/>
        </w:trPr>
        <w:tc>
          <w:tcPr>
            <w:gridSpan w:val="7"/>
            <w:tcBorders>
              <w:left w:val="single" w:color="000000" w:sz="4" w:space="0"/>
            </w:tcBorders>
            <w:tcW w:w="4937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1800" w:type="dxa"/>
            <w:textDirection w:val="lrTb"/>
            <w:noWrap w:val="false"/>
          </w:tcPr>
          <w:p>
            <w:pPr>
              <w:jc w:val="center"/>
            </w:pPr>
            <w:r>
              <w:t xml:space="preserve">(подпись)</w:t>
            </w:r>
            <w:r/>
          </w:p>
        </w:tc>
        <w:tc>
          <w:tcPr>
            <w:tcW w:w="307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r>
              <w:t xml:space="preserve">3.2. Дата  </w:t>
            </w:r>
            <w:r/>
          </w:p>
        </w:tc>
        <w:tc>
          <w:tcPr>
            <w:tcBorders>
              <w:bottom w:val="single" w:color="000000" w:sz="4" w:space="0"/>
            </w:tcBorders>
            <w:tcW w:w="28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27</w:t>
            </w:r>
            <w:r/>
          </w:p>
        </w:tc>
        <w:tc>
          <w:tcPr>
            <w:tcW w:w="271" w:type="dxa"/>
            <w:vAlign w:val="bottom"/>
            <w:textDirection w:val="lrTb"/>
            <w:noWrap w:val="false"/>
          </w:tcPr>
          <w:p>
            <w:r>
              <w:t xml:space="preserve">”</w:t>
            </w:r>
            <w:r/>
          </w:p>
        </w:tc>
        <w:tc>
          <w:tcPr>
            <w:tcBorders>
              <w:bottom w:val="single" w:color="000000" w:sz="4" w:space="0"/>
            </w:tcBorders>
            <w:tcW w:w="1317" w:type="dxa"/>
            <w:vAlign w:val="bottom"/>
            <w:textDirection w:val="lrTb"/>
            <w:noWrap w:val="false"/>
          </w:tcPr>
          <w:p>
            <w:r>
              <w:t xml:space="preserve"> декабря</w:t>
            </w:r>
            <w:r/>
          </w:p>
        </w:tc>
        <w:tc>
          <w:tcPr>
            <w:tcW w:w="4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t xml:space="preserve">20</w:t>
            </w:r>
            <w:r/>
          </w:p>
        </w:tc>
        <w:tc>
          <w:tcPr>
            <w:tcBorders>
              <w:bottom w:val="single" w:color="000000" w:sz="4" w:space="0"/>
            </w:tcBorders>
            <w:tcW w:w="307" w:type="dxa"/>
            <w:vAlign w:val="bottom"/>
            <w:textDirection w:val="lrTb"/>
            <w:noWrap w:val="false"/>
          </w:tcPr>
          <w:p>
            <w:r>
              <w:t xml:space="preserve">24</w:t>
            </w:r>
            <w:r/>
          </w:p>
        </w:tc>
        <w:tc>
          <w:tcPr>
            <w:tcW w:w="1209" w:type="dxa"/>
            <w:vAlign w:val="bottom"/>
            <w:textDirection w:val="lrTb"/>
            <w:noWrap w:val="false"/>
          </w:tcPr>
          <w:p>
            <w:r>
              <w:t xml:space="preserve">.</w:t>
            </w:r>
            <w:r/>
          </w:p>
        </w:tc>
        <w:tc>
          <w:tcPr>
            <w:tcW w:w="1338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3"/>
            <w:tcBorders>
              <w:right w:val="single" w:color="000000" w:sz="4" w:space="0"/>
            </w:tcBorders>
            <w:tcW w:w="4068" w:type="dxa"/>
            <w:vAlign w:val="bottom"/>
            <w:textDirection w:val="lrTb"/>
            <w:noWrap w:val="false"/>
          </w:tcPr>
          <w:p>
            <w:r/>
            <w:r/>
          </w:p>
        </w:tc>
      </w:tr>
      <w:tr>
        <w:trPr>
          <w:cantSplit/>
        </w:trPr>
        <w:tc>
          <w:tcPr>
            <w:gridSpan w:val="7"/>
            <w:tcBorders>
              <w:left w:val="single" w:color="000000" w:sz="4" w:space="0"/>
              <w:bottom w:val="single" w:color="000000" w:sz="4" w:space="0"/>
            </w:tcBorders>
            <w:tcW w:w="493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gridSpan w:val="3"/>
            <w:tcBorders>
              <w:bottom w:val="single" w:color="000000" w:sz="4" w:space="0"/>
              <w:right w:val="single" w:color="000000" w:sz="4" w:space="0"/>
            </w:tcBorders>
            <w:tcW w:w="406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bookmarkEnd w:id="0"/>
            <w:r/>
          </w:p>
        </w:tc>
      </w:tr>
    </w:tbl>
    <w:p>
      <w:pPr>
        <w:tabs>
          <w:tab w:val="left" w:pos="2895" w:leader="none"/>
        </w:tabs>
      </w:pPr>
      <w:r/>
      <w:r/>
    </w:p>
    <w:sectPr>
      <w:headerReference w:type="even" r:id="rId9"/>
      <w:footerReference w:type="default" r:id="rId10"/>
      <w:footnotePr/>
      <w:endnotePr/>
      <w:type w:val="nextPage"/>
      <w:pgSz w:w="11906" w:h="16838" w:orient="portrait"/>
      <w:pgMar w:top="284" w:right="851" w:bottom="709" w:left="1134" w:header="284" w:footer="284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1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rPr>
        <w:rStyle w:val="906"/>
      </w:rPr>
      <w:framePr w:wrap="around" w:vAnchor="text" w:hAnchor="margin" w:xAlign="center" w:y="1"/>
    </w:pPr>
    <w:r>
      <w:rPr>
        <w:rStyle w:val="906"/>
      </w:rPr>
      <w:fldChar w:fldCharType="begin"/>
    </w:r>
    <w:r>
      <w:rPr>
        <w:rStyle w:val="906"/>
      </w:rPr>
      <w:instrText xml:space="preserve">PAGE  </w:instrText>
    </w:r>
    <w:r>
      <w:rPr>
        <w:rStyle w:val="906"/>
      </w:rPr>
      <w:fldChar w:fldCharType="separate"/>
    </w:r>
    <w:r>
      <w:rPr>
        <w:rStyle w:val="906"/>
      </w:rPr>
      <w:t xml:space="preserve">3</w:t>
    </w:r>
    <w:r>
      <w:rPr>
        <w:rStyle w:val="906"/>
      </w:rPr>
      <w:fldChar w:fldCharType="end"/>
    </w:r>
    <w:r/>
  </w:p>
  <w:p>
    <w:pPr>
      <w:pStyle w:val="90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45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multiLevelType w:val="hybridMultilevel"/>
    <w:lvl w:ilvl="0">
      <w:start w:val="1"/>
      <w:numFmt w:val="none"/>
      <w:isLgl w:val="false"/>
      <w:suff w:val="nothing"/>
      <w:lvlText w:val=""/>
      <w:lvlJc w:val="left"/>
      <w:pPr/>
      <w:rPr>
        <w:rFonts w:cs="Times New Roman"/>
        <w:spacing w:val="0"/>
      </w:rPr>
    </w:lvl>
    <w:lvl w:ilvl="1">
      <w:start w:val="1"/>
      <w:numFmt w:val="none"/>
      <w:isLgl w:val="fals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isLgl w:val="fals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isLgl w:val="fals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isLgl w:val="fals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isLgl w:val="fals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isLgl w:val="fals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isLgl w:val="fals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isLgl w:val="fals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/>
      <w:rPr>
        <w:rFonts w:hint="default" w:ascii="Symbol" w:hAnsi="Symbol"/>
        <w:spacing w:val="0"/>
      </w:rPr>
    </w:lvl>
    <w:lvl w:ilvl="1">
      <w:start w:val="1"/>
      <w:numFmt w:val="none"/>
      <w:isLgl w:val="fals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isLgl w:val="fals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isLgl w:val="fals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isLgl w:val="fals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isLgl w:val="fals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isLgl w:val="fals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isLgl w:val="fals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isLgl w:val="fals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4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8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04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0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64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2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4"/>
  </w:num>
  <w:num w:numId="4">
    <w:abstractNumId w:val="27"/>
  </w:num>
  <w:num w:numId="5">
    <w:abstractNumId w:val="4"/>
  </w:num>
  <w:num w:numId="6">
    <w:abstractNumId w:val="6"/>
  </w:num>
  <w:num w:numId="7">
    <w:abstractNumId w:val="16"/>
  </w:num>
  <w:num w:numId="8">
    <w:abstractNumId w:val="13"/>
  </w:num>
  <w:num w:numId="9">
    <w:abstractNumId w:val="1"/>
  </w:num>
  <w:num w:numId="10">
    <w:abstractNumId w:val="17"/>
  </w:num>
  <w:num w:numId="11">
    <w:abstractNumId w:val="20"/>
  </w:num>
  <w:num w:numId="12">
    <w:abstractNumId w:val="23"/>
  </w:num>
  <w:num w:numId="13">
    <w:abstractNumId w:val="7"/>
  </w:num>
  <w:num w:numId="14">
    <w:abstractNumId w:val="14"/>
  </w:num>
  <w:num w:numId="15">
    <w:abstractNumId w:val="25"/>
  </w:num>
  <w:num w:numId="16">
    <w:abstractNumId w:val="26"/>
  </w:num>
  <w:num w:numId="17">
    <w:abstractNumId w:val="9"/>
  </w:num>
  <w:num w:numId="18">
    <w:abstractNumId w:val="22"/>
  </w:num>
  <w:num w:numId="19">
    <w:abstractNumId w:val="28"/>
  </w:num>
  <w:num w:numId="20">
    <w:abstractNumId w:val="19"/>
  </w:num>
  <w:num w:numId="21">
    <w:abstractNumId w:val="18"/>
  </w:num>
  <w:num w:numId="22">
    <w:abstractNumId w:val="5"/>
  </w:num>
  <w:num w:numId="23">
    <w:abstractNumId w:val="8"/>
  </w:num>
  <w:num w:numId="24">
    <w:abstractNumId w:val="15"/>
  </w:num>
  <w:num w:numId="25">
    <w:abstractNumId w:val="3"/>
  </w:num>
  <w:num w:numId="26">
    <w:abstractNumId w:val="12"/>
  </w:num>
  <w:num w:numId="27">
    <w:abstractNumId w:val="21"/>
  </w:num>
  <w:num w:numId="28">
    <w:abstractNumId w:val="2"/>
  </w:num>
  <w:num w:numId="29">
    <w:abstractNumId w:val="10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738"/>
    <w:link w:val="729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38"/>
    <w:link w:val="730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38"/>
    <w:link w:val="731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38"/>
    <w:link w:val="732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738"/>
    <w:link w:val="733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738"/>
    <w:link w:val="734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738"/>
    <w:link w:val="7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738"/>
    <w:link w:val="736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738"/>
    <w:link w:val="737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738"/>
    <w:link w:val="750"/>
    <w:uiPriority w:val="10"/>
    <w:rPr>
      <w:sz w:val="48"/>
      <w:szCs w:val="48"/>
    </w:rPr>
  </w:style>
  <w:style w:type="character" w:styleId="36">
    <w:name w:val="Subtitle Char"/>
    <w:basedOn w:val="738"/>
    <w:link w:val="752"/>
    <w:uiPriority w:val="11"/>
    <w:rPr>
      <w:sz w:val="24"/>
      <w:szCs w:val="24"/>
    </w:rPr>
  </w:style>
  <w:style w:type="character" w:styleId="38">
    <w:name w:val="Quote Char"/>
    <w:link w:val="754"/>
    <w:uiPriority w:val="29"/>
    <w:rPr>
      <w:i/>
    </w:rPr>
  </w:style>
  <w:style w:type="character" w:styleId="40">
    <w:name w:val="Intense Quote Char"/>
    <w:link w:val="756"/>
    <w:uiPriority w:val="30"/>
    <w:rPr>
      <w:i/>
    </w:rPr>
  </w:style>
  <w:style w:type="character" w:styleId="175">
    <w:name w:val="Footnote Text Char"/>
    <w:link w:val="887"/>
    <w:uiPriority w:val="99"/>
    <w:rPr>
      <w:sz w:val="18"/>
    </w:rPr>
  </w:style>
  <w:style w:type="character" w:styleId="178">
    <w:name w:val="Endnote Text Char"/>
    <w:link w:val="890"/>
    <w:uiPriority w:val="99"/>
    <w:rPr>
      <w:sz w:val="20"/>
    </w:rPr>
  </w:style>
  <w:style w:type="paragraph" w:styleId="72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29">
    <w:name w:val="Heading 1"/>
    <w:basedOn w:val="728"/>
    <w:next w:val="728"/>
    <w:link w:val="7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30">
    <w:name w:val="Heading 2"/>
    <w:basedOn w:val="728"/>
    <w:next w:val="728"/>
    <w:link w:val="74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1">
    <w:name w:val="Heading 3"/>
    <w:basedOn w:val="728"/>
    <w:next w:val="728"/>
    <w:link w:val="7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2">
    <w:name w:val="Heading 4"/>
    <w:basedOn w:val="728"/>
    <w:next w:val="728"/>
    <w:link w:val="7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3">
    <w:name w:val="Heading 5"/>
    <w:basedOn w:val="728"/>
    <w:next w:val="728"/>
    <w:link w:val="7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728"/>
    <w:next w:val="728"/>
    <w:link w:val="7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5">
    <w:name w:val="Heading 7"/>
    <w:basedOn w:val="728"/>
    <w:next w:val="728"/>
    <w:link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728"/>
    <w:next w:val="728"/>
    <w:link w:val="7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7">
    <w:name w:val="Heading 9"/>
    <w:basedOn w:val="728"/>
    <w:next w:val="728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8" w:default="1">
    <w:name w:val="Default Paragraph Font"/>
    <w:uiPriority w:val="1"/>
    <w:semiHidden/>
    <w:unhideWhenUsed/>
  </w:style>
  <w:style w:type="table" w:styleId="7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0" w:default="1">
    <w:name w:val="No List"/>
    <w:uiPriority w:val="99"/>
    <w:semiHidden/>
    <w:unhideWhenUsed/>
  </w:style>
  <w:style w:type="character" w:styleId="741" w:customStyle="1">
    <w:name w:val="Заголовок 1 Знак"/>
    <w:basedOn w:val="738"/>
    <w:link w:val="729"/>
    <w:uiPriority w:val="9"/>
    <w:rPr>
      <w:rFonts w:ascii="Arial" w:hAnsi="Arial" w:eastAsia="Arial" w:cs="Arial"/>
      <w:sz w:val="40"/>
      <w:szCs w:val="40"/>
    </w:rPr>
  </w:style>
  <w:style w:type="character" w:styleId="742" w:customStyle="1">
    <w:name w:val="Заголовок 2 Знак"/>
    <w:basedOn w:val="738"/>
    <w:link w:val="730"/>
    <w:uiPriority w:val="9"/>
    <w:rPr>
      <w:rFonts w:ascii="Arial" w:hAnsi="Arial" w:eastAsia="Arial" w:cs="Arial"/>
      <w:sz w:val="34"/>
    </w:rPr>
  </w:style>
  <w:style w:type="character" w:styleId="743" w:customStyle="1">
    <w:name w:val="Заголовок 3 Знак"/>
    <w:basedOn w:val="738"/>
    <w:link w:val="731"/>
    <w:uiPriority w:val="9"/>
    <w:rPr>
      <w:rFonts w:ascii="Arial" w:hAnsi="Arial" w:eastAsia="Arial" w:cs="Arial"/>
      <w:sz w:val="30"/>
      <w:szCs w:val="30"/>
    </w:rPr>
  </w:style>
  <w:style w:type="character" w:styleId="744" w:customStyle="1">
    <w:name w:val="Заголовок 4 Знак"/>
    <w:basedOn w:val="738"/>
    <w:link w:val="732"/>
    <w:uiPriority w:val="9"/>
    <w:rPr>
      <w:rFonts w:ascii="Arial" w:hAnsi="Arial" w:eastAsia="Arial" w:cs="Arial"/>
      <w:b/>
      <w:bCs/>
      <w:sz w:val="26"/>
      <w:szCs w:val="26"/>
    </w:rPr>
  </w:style>
  <w:style w:type="character" w:styleId="745" w:customStyle="1">
    <w:name w:val="Заголовок 5 Знак"/>
    <w:basedOn w:val="738"/>
    <w:link w:val="733"/>
    <w:uiPriority w:val="9"/>
    <w:rPr>
      <w:rFonts w:ascii="Arial" w:hAnsi="Arial" w:eastAsia="Arial" w:cs="Arial"/>
      <w:b/>
      <w:bCs/>
      <w:sz w:val="24"/>
      <w:szCs w:val="24"/>
    </w:rPr>
  </w:style>
  <w:style w:type="character" w:styleId="746" w:customStyle="1">
    <w:name w:val="Заголовок 6 Знак"/>
    <w:basedOn w:val="738"/>
    <w:link w:val="734"/>
    <w:uiPriority w:val="9"/>
    <w:rPr>
      <w:rFonts w:ascii="Arial" w:hAnsi="Arial" w:eastAsia="Arial" w:cs="Arial"/>
      <w:b/>
      <w:bCs/>
      <w:sz w:val="22"/>
      <w:szCs w:val="22"/>
    </w:rPr>
  </w:style>
  <w:style w:type="character" w:styleId="747" w:customStyle="1">
    <w:name w:val="Заголовок 7 Знак"/>
    <w:basedOn w:val="738"/>
    <w:link w:val="7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8" w:customStyle="1">
    <w:name w:val="Заголовок 8 Знак"/>
    <w:basedOn w:val="738"/>
    <w:link w:val="736"/>
    <w:uiPriority w:val="9"/>
    <w:rPr>
      <w:rFonts w:ascii="Arial" w:hAnsi="Arial" w:eastAsia="Arial" w:cs="Arial"/>
      <w:i/>
      <w:iCs/>
      <w:sz w:val="22"/>
      <w:szCs w:val="22"/>
    </w:rPr>
  </w:style>
  <w:style w:type="character" w:styleId="749" w:customStyle="1">
    <w:name w:val="Заголовок 9 Знак"/>
    <w:basedOn w:val="738"/>
    <w:link w:val="737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Title"/>
    <w:basedOn w:val="728"/>
    <w:next w:val="728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 w:customStyle="1">
    <w:name w:val="Название Знак"/>
    <w:basedOn w:val="738"/>
    <w:link w:val="750"/>
    <w:uiPriority w:val="10"/>
    <w:rPr>
      <w:sz w:val="48"/>
      <w:szCs w:val="48"/>
    </w:rPr>
  </w:style>
  <w:style w:type="paragraph" w:styleId="752">
    <w:name w:val="Subtitle"/>
    <w:basedOn w:val="728"/>
    <w:next w:val="728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 w:customStyle="1">
    <w:name w:val="Подзаголовок Знак"/>
    <w:basedOn w:val="738"/>
    <w:link w:val="752"/>
    <w:uiPriority w:val="11"/>
    <w:rPr>
      <w:sz w:val="24"/>
      <w:szCs w:val="24"/>
    </w:rPr>
  </w:style>
  <w:style w:type="paragraph" w:styleId="754">
    <w:name w:val="Quote"/>
    <w:basedOn w:val="728"/>
    <w:next w:val="728"/>
    <w:link w:val="755"/>
    <w:uiPriority w:val="29"/>
    <w:qFormat/>
    <w:pPr>
      <w:ind w:left="720" w:right="720"/>
    </w:pPr>
    <w:rPr>
      <w:i/>
    </w:rPr>
  </w:style>
  <w:style w:type="character" w:styleId="755" w:customStyle="1">
    <w:name w:val="Цитата 2 Знак"/>
    <w:link w:val="754"/>
    <w:uiPriority w:val="29"/>
    <w:rPr>
      <w:i/>
    </w:rPr>
  </w:style>
  <w:style w:type="paragraph" w:styleId="756">
    <w:name w:val="Intense Quote"/>
    <w:basedOn w:val="728"/>
    <w:next w:val="728"/>
    <w:link w:val="75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 w:customStyle="1">
    <w:name w:val="Выделенная цитата Знак"/>
    <w:link w:val="756"/>
    <w:uiPriority w:val="30"/>
    <w:rPr>
      <w:i/>
    </w:rPr>
  </w:style>
  <w:style w:type="character" w:styleId="758" w:customStyle="1">
    <w:name w:val="Header Char"/>
    <w:basedOn w:val="738"/>
    <w:uiPriority w:val="99"/>
  </w:style>
  <w:style w:type="character" w:styleId="759" w:customStyle="1">
    <w:name w:val="Footer Char"/>
    <w:basedOn w:val="738"/>
    <w:uiPriority w:val="99"/>
  </w:style>
  <w:style w:type="paragraph" w:styleId="760">
    <w:name w:val="Caption"/>
    <w:basedOn w:val="728"/>
    <w:next w:val="72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61" w:customStyle="1">
    <w:name w:val="Caption Char"/>
    <w:uiPriority w:val="99"/>
  </w:style>
  <w:style w:type="table" w:styleId="762" w:customStyle="1">
    <w:name w:val="Table Grid Light"/>
    <w:basedOn w:val="73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3">
    <w:name w:val="Plain Table 1"/>
    <w:basedOn w:val="73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basedOn w:val="73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basedOn w:val="7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 w:customStyle="1">
    <w:name w:val="Grid Table 4 - Accent 1"/>
    <w:basedOn w:val="7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1" w:customStyle="1">
    <w:name w:val="Grid Table 4 - Accent 2"/>
    <w:basedOn w:val="7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2" w:customStyle="1">
    <w:name w:val="Grid Table 4 - Accent 3"/>
    <w:basedOn w:val="7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3" w:customStyle="1">
    <w:name w:val="Grid Table 4 - Accent 4"/>
    <w:basedOn w:val="7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4" w:customStyle="1">
    <w:name w:val="Grid Table 4 - Accent 5"/>
    <w:basedOn w:val="7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5" w:customStyle="1">
    <w:name w:val="Grid Table 4 - Accent 6"/>
    <w:basedOn w:val="7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6">
    <w:name w:val="Grid Table 5 Dark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3">
    <w:name w:val="Grid Table 6 Colorful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4" w:customStyle="1">
    <w:name w:val="Grid Table 6 Colorful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5" w:customStyle="1">
    <w:name w:val="Grid Table 6 Colorful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6" w:customStyle="1">
    <w:name w:val="Grid Table 6 Colorful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7" w:customStyle="1">
    <w:name w:val="Grid Table 6 Colorful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8" w:customStyle="1">
    <w:name w:val="Grid Table 6 Colorful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9" w:customStyle="1">
    <w:name w:val="Grid Table 6 Colorful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0">
    <w:name w:val="Grid Table 7 Colorful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1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2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3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4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5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6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>
    <w:name w:val="List Table 6 Colorful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3" w:customStyle="1">
    <w:name w:val="List Table 6 Colorful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4" w:customStyle="1">
    <w:name w:val="List Table 6 Colorful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5" w:customStyle="1">
    <w:name w:val="List Table 6 Colorful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6" w:customStyle="1">
    <w:name w:val="List Table 6 Colorful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7" w:customStyle="1">
    <w:name w:val="List Table 6 Colorful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8" w:customStyle="1">
    <w:name w:val="List Table 6 Colorful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9">
    <w:name w:val="List Table 7 Colorful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ned - Accent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Lined - Accent 1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8" w:customStyle="1">
    <w:name w:val="Lined - Accent 2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9" w:customStyle="1">
    <w:name w:val="Lined - Accent 3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0" w:customStyle="1">
    <w:name w:val="Lined - Accent 4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1" w:customStyle="1">
    <w:name w:val="Lined - Accent 5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2" w:customStyle="1">
    <w:name w:val="Lined - Accent 6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3" w:customStyle="1">
    <w:name w:val="Bordered &amp; Lined - Accent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4" w:customStyle="1">
    <w:name w:val="Bordered &amp; Lined - Accent 1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5" w:customStyle="1">
    <w:name w:val="Bordered &amp; Lined - Accent 2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6" w:customStyle="1">
    <w:name w:val="Bordered &amp; Lined - Accent 3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7" w:customStyle="1">
    <w:name w:val="Bordered &amp; Lined - Accent 4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8" w:customStyle="1">
    <w:name w:val="Bordered &amp; Lined - Accent 5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9" w:customStyle="1">
    <w:name w:val="Bordered &amp; Lined - Accent 6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0" w:customStyle="1">
    <w:name w:val="Bordered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1" w:customStyle="1">
    <w:name w:val="Bordered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2" w:customStyle="1">
    <w:name w:val="Bordered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3" w:customStyle="1">
    <w:name w:val="Bordered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4" w:customStyle="1">
    <w:name w:val="Bordered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5" w:customStyle="1">
    <w:name w:val="Bordered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6" w:customStyle="1">
    <w:name w:val="Bordered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87">
    <w:name w:val="footnote text"/>
    <w:basedOn w:val="728"/>
    <w:link w:val="888"/>
    <w:uiPriority w:val="99"/>
    <w:semiHidden/>
    <w:unhideWhenUsed/>
    <w:pPr>
      <w:spacing w:after="40"/>
    </w:pPr>
    <w:rPr>
      <w:sz w:val="18"/>
    </w:rPr>
  </w:style>
  <w:style w:type="character" w:styleId="888" w:customStyle="1">
    <w:name w:val="Текст сноски Знак"/>
    <w:link w:val="887"/>
    <w:uiPriority w:val="99"/>
    <w:rPr>
      <w:sz w:val="18"/>
    </w:rPr>
  </w:style>
  <w:style w:type="character" w:styleId="889">
    <w:name w:val="footnote reference"/>
    <w:basedOn w:val="738"/>
    <w:uiPriority w:val="99"/>
    <w:unhideWhenUsed/>
    <w:rPr>
      <w:vertAlign w:val="superscript"/>
    </w:rPr>
  </w:style>
  <w:style w:type="paragraph" w:styleId="890">
    <w:name w:val="endnote text"/>
    <w:basedOn w:val="728"/>
    <w:link w:val="891"/>
    <w:uiPriority w:val="99"/>
    <w:semiHidden/>
    <w:unhideWhenUsed/>
  </w:style>
  <w:style w:type="character" w:styleId="891" w:customStyle="1">
    <w:name w:val="Текст концевой сноски Знак"/>
    <w:link w:val="890"/>
    <w:uiPriority w:val="99"/>
    <w:rPr>
      <w:sz w:val="20"/>
    </w:rPr>
  </w:style>
  <w:style w:type="character" w:styleId="892">
    <w:name w:val="endnote reference"/>
    <w:basedOn w:val="738"/>
    <w:uiPriority w:val="99"/>
    <w:semiHidden/>
    <w:unhideWhenUsed/>
    <w:rPr>
      <w:vertAlign w:val="superscript"/>
    </w:rPr>
  </w:style>
  <w:style w:type="paragraph" w:styleId="893">
    <w:name w:val="toc 1"/>
    <w:basedOn w:val="728"/>
    <w:next w:val="728"/>
    <w:uiPriority w:val="39"/>
    <w:unhideWhenUsed/>
    <w:pPr>
      <w:spacing w:after="57"/>
    </w:pPr>
  </w:style>
  <w:style w:type="paragraph" w:styleId="894">
    <w:name w:val="toc 2"/>
    <w:basedOn w:val="728"/>
    <w:next w:val="728"/>
    <w:uiPriority w:val="39"/>
    <w:unhideWhenUsed/>
    <w:pPr>
      <w:ind w:left="283"/>
      <w:spacing w:after="57"/>
    </w:pPr>
  </w:style>
  <w:style w:type="paragraph" w:styleId="895">
    <w:name w:val="toc 3"/>
    <w:basedOn w:val="728"/>
    <w:next w:val="728"/>
    <w:uiPriority w:val="39"/>
    <w:unhideWhenUsed/>
    <w:pPr>
      <w:ind w:left="567"/>
      <w:spacing w:after="57"/>
    </w:pPr>
  </w:style>
  <w:style w:type="paragraph" w:styleId="896">
    <w:name w:val="toc 4"/>
    <w:basedOn w:val="728"/>
    <w:next w:val="728"/>
    <w:uiPriority w:val="39"/>
    <w:unhideWhenUsed/>
    <w:pPr>
      <w:ind w:left="850"/>
      <w:spacing w:after="57"/>
    </w:pPr>
  </w:style>
  <w:style w:type="paragraph" w:styleId="897">
    <w:name w:val="toc 5"/>
    <w:basedOn w:val="728"/>
    <w:next w:val="728"/>
    <w:uiPriority w:val="39"/>
    <w:unhideWhenUsed/>
    <w:pPr>
      <w:ind w:left="1134"/>
      <w:spacing w:after="57"/>
    </w:pPr>
  </w:style>
  <w:style w:type="paragraph" w:styleId="898">
    <w:name w:val="toc 6"/>
    <w:basedOn w:val="728"/>
    <w:next w:val="728"/>
    <w:uiPriority w:val="39"/>
    <w:unhideWhenUsed/>
    <w:pPr>
      <w:ind w:left="1417"/>
      <w:spacing w:after="57"/>
    </w:pPr>
  </w:style>
  <w:style w:type="paragraph" w:styleId="899">
    <w:name w:val="toc 7"/>
    <w:basedOn w:val="728"/>
    <w:next w:val="728"/>
    <w:uiPriority w:val="39"/>
    <w:unhideWhenUsed/>
    <w:pPr>
      <w:ind w:left="1701"/>
      <w:spacing w:after="57"/>
    </w:pPr>
  </w:style>
  <w:style w:type="paragraph" w:styleId="900">
    <w:name w:val="toc 8"/>
    <w:basedOn w:val="728"/>
    <w:next w:val="728"/>
    <w:uiPriority w:val="39"/>
    <w:unhideWhenUsed/>
    <w:pPr>
      <w:ind w:left="1984"/>
      <w:spacing w:after="57"/>
    </w:pPr>
  </w:style>
  <w:style w:type="paragraph" w:styleId="901">
    <w:name w:val="toc 9"/>
    <w:basedOn w:val="728"/>
    <w:next w:val="728"/>
    <w:uiPriority w:val="39"/>
    <w:unhideWhenUsed/>
    <w:pPr>
      <w:ind w:left="2268"/>
      <w:spacing w:after="57"/>
    </w:pPr>
  </w:style>
  <w:style w:type="paragraph" w:styleId="902">
    <w:name w:val="TOC Heading"/>
    <w:uiPriority w:val="39"/>
    <w:unhideWhenUsed/>
  </w:style>
  <w:style w:type="paragraph" w:styleId="903">
    <w:name w:val="table of figures"/>
    <w:basedOn w:val="728"/>
    <w:next w:val="728"/>
    <w:uiPriority w:val="99"/>
    <w:unhideWhenUsed/>
  </w:style>
  <w:style w:type="paragraph" w:styleId="904">
    <w:name w:val="Header"/>
    <w:basedOn w:val="728"/>
    <w:link w:val="905"/>
    <w:pPr>
      <w:tabs>
        <w:tab w:val="center" w:pos="4153" w:leader="none"/>
        <w:tab w:val="right" w:pos="8306" w:leader="none"/>
      </w:tabs>
    </w:pPr>
  </w:style>
  <w:style w:type="character" w:styleId="905" w:customStyle="1">
    <w:name w:val="Верхний колонтитул Знак"/>
    <w:basedOn w:val="738"/>
    <w:link w:val="90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06">
    <w:name w:val="page number"/>
    <w:basedOn w:val="738"/>
  </w:style>
  <w:style w:type="character" w:styleId="907">
    <w:name w:val="Hyperlink"/>
    <w:rPr>
      <w:color w:val="0000ff"/>
      <w:u w:val="single"/>
    </w:rPr>
  </w:style>
  <w:style w:type="paragraph" w:styleId="908">
    <w:name w:val="Body Text"/>
    <w:basedOn w:val="728"/>
    <w:link w:val="909"/>
    <w:pPr>
      <w:spacing w:after="120"/>
    </w:pPr>
  </w:style>
  <w:style w:type="character" w:styleId="909" w:customStyle="1">
    <w:name w:val="Основной текст Знак"/>
    <w:basedOn w:val="738"/>
    <w:link w:val="908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10">
    <w:name w:val="Footer"/>
    <w:basedOn w:val="728"/>
    <w:link w:val="911"/>
    <w:uiPriority w:val="99"/>
    <w:pPr>
      <w:tabs>
        <w:tab w:val="center" w:pos="4677" w:leader="none"/>
        <w:tab w:val="right" w:pos="9355" w:leader="none"/>
      </w:tabs>
    </w:pPr>
  </w:style>
  <w:style w:type="character" w:styleId="911" w:customStyle="1">
    <w:name w:val="Нижний колонтитул Знак"/>
    <w:basedOn w:val="738"/>
    <w:link w:val="910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12">
    <w:name w:val="Balloon Text"/>
    <w:basedOn w:val="728"/>
    <w:link w:val="91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13" w:customStyle="1">
    <w:name w:val="Текст выноски Знак"/>
    <w:basedOn w:val="738"/>
    <w:link w:val="91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914">
    <w:name w:val="List Paragraph"/>
    <w:basedOn w:val="728"/>
    <w:link w:val="91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15" w:customStyle="1">
    <w:name w:val="Абзац списка Знак"/>
    <w:link w:val="914"/>
    <w:uiPriority w:val="34"/>
    <w:rPr>
      <w:rFonts w:ascii="Calibri" w:hAnsi="Calibri" w:eastAsia="Calibri" w:cs="Times New Roman"/>
    </w:rPr>
  </w:style>
  <w:style w:type="paragraph" w:styleId="916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17" w:customStyle="1">
    <w:name w:val="Style 12 pt Bold Italic"/>
    <w:uiPriority w:val="99"/>
    <w:rPr>
      <w:rFonts w:ascii="Times New Roman" w:hAnsi="Times New Roman"/>
      <w:b/>
      <w:bCs/>
      <w:i/>
      <w:iCs/>
      <w:sz w:val="22"/>
    </w:rPr>
  </w:style>
  <w:style w:type="table" w:styleId="918">
    <w:name w:val="Table Grid"/>
    <w:basedOn w:val="73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9" w:customStyle="1">
    <w:name w:val="Абзац 3"/>
    <w:basedOn w:val="728"/>
    <w:hidden/>
    <w:pPr>
      <w:jc w:val="both"/>
    </w:pPr>
    <w:rPr>
      <w:rFonts w:eastAsiaTheme="minorEastAsia" w:cstheme="minorBidi"/>
      <w:sz w:val="24"/>
      <w:szCs w:val="22"/>
    </w:rPr>
  </w:style>
  <w:style w:type="character" w:styleId="920">
    <w:name w:val="Subtle Emphasis"/>
    <w:basedOn w:val="738"/>
    <w:uiPriority w:val="19"/>
    <w:qFormat/>
    <w:rPr>
      <w:i/>
      <w:iCs/>
      <w:color w:val="404040" w:themeColor="text1" w:themeTint="BF"/>
    </w:rPr>
  </w:style>
  <w:style w:type="character" w:styleId="921">
    <w:name w:val="Strong"/>
    <w:basedOn w:val="738"/>
    <w:uiPriority w:val="22"/>
    <w:qFormat/>
    <w:rPr>
      <w:b/>
      <w:bCs/>
    </w:rPr>
  </w:style>
  <w:style w:type="character" w:styleId="922" w:customStyle="1">
    <w:name w:val="Subst"/>
    <w:uiPriority w:val="99"/>
    <w:rPr>
      <w:b/>
      <w:i/>
    </w:rPr>
  </w:style>
  <w:style w:type="paragraph" w:styleId="923" w:customStyle="1">
    <w:name w:val="Абзац 4"/>
    <w:basedOn w:val="728"/>
    <w:pPr>
      <w:jc w:val="both"/>
    </w:pPr>
    <w:rPr>
      <w:rFonts w:eastAsiaTheme="minorEastAsia" w:cstheme="minorBidi"/>
      <w:sz w:val="24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s://www.ogk2.ru" TargetMode="External"/><Relationship Id="rId13" Type="http://schemas.openxmlformats.org/officeDocument/2006/relationships/hyperlink" Target="https://www.e-disclosure.ru/portal/company.aspx?id=72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3202E-AFC7-4FBC-BEEB-9FC020C9F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revision>3</cp:revision>
  <dcterms:created xsi:type="dcterms:W3CDTF">2024-12-19T13:08:00Z</dcterms:created>
  <dcterms:modified xsi:type="dcterms:W3CDTF">2024-12-27T14:26:42Z</dcterms:modified>
</cp:coreProperties>
</file>