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0"/>
          <w:szCs w:val="20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Сообщение о существенном 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факте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0"/>
          <w:szCs w:val="20"/>
        </w:rPr>
      </w:pP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</w:p>
    <w:tbl>
      <w:tblPr>
        <w:tblW w:w="1006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4822"/>
      </w:tblGrid>
      <w:tr>
        <w:tblPrEx/>
        <w:trPr/>
        <w:tc>
          <w:tcPr>
            <w:gridSpan w:val="2"/>
            <w:tcW w:w="1006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196605, г. Санкт-Петербург,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вн.тер.г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. поселок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, ш Петербургское, д. 66, к. 1, литера А, этаж 7,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помещ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. 36-Н,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каб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. 701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9" w:tooltip="https://www.ogk2.ru" w:history="1"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://www.ogk2.ru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0" w:tooltip="https://www.e-disclosure.ru/portal/company.aspx?id=7234" w:history="1"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174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12.09.2025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06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3"/>
      </w:tblGrid>
      <w:tr>
        <w:tblPrEx/>
        <w:trPr/>
        <w:tc>
          <w:tcPr>
            <w:tcW w:w="1006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10063" w:type="dxa"/>
            <w:textDirection w:val="lrTb"/>
            <w:noWrap w:val="false"/>
          </w:tcPr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0"/>
                <w:szCs w:val="20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tabs>
                <w:tab w:val="left" w:pos="547" w:leader="none"/>
              </w:tabs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1_636"/>
              <w:contextualSpacing/>
              <w:ind w:left="0" w:right="0"/>
              <w:jc w:val="both"/>
              <w:spacing w:before="0" w:beforeAutospacing="0" w:after="0" w:afterAutospacing="0"/>
              <w:widowControl w:val="off"/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1_639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О рекомендациях и предложениях Общему собранию акционеров Общества по вопросам повестки дня Общего собрания акционеров Общества.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1_639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2.1. 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О рекомендациях Общему собранию акционеров Обще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ства по распределению прибыли и 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убытков Общества по результатам 2024 года, в том числе о рекомендациях по размеру дивидендов по акциям Общества и порядку их выплаты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eastAsia="Tempora LGC Uni" w:cs="Tempora LGC Uni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Результаты голосования: За – 11, 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Против</w:t>
            </w: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highlight w:val="none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620"/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Принятое решение: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0" w:right="0"/>
              <w:jc w:val="both"/>
              <w:spacing w:before="0" w:beforeAutospacing="0" w:after="0" w:afterAutospacing="0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color w:val="000000"/>
                <w:spacing w:val="-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pacing w:val="-4"/>
                <w:sz w:val="20"/>
                <w:szCs w:val="20"/>
              </w:rPr>
              <w:t xml:space="preserve">1. Рекомендовать Общему собранию акционеров Общества утвердить следующее распределение прибыли и убытков Общества за 2024 год:</w:t>
            </w:r>
            <w:r>
              <w:rPr>
                <w:rFonts w:ascii="Tempora LGC Uni" w:hAnsi="Tempora LGC Uni" w:cs="Tempora LGC Uni"/>
                <w:color w:val="000000"/>
                <w:spacing w:val="-4"/>
                <w:szCs w:val="24"/>
              </w:rPr>
            </w:r>
            <w:r>
              <w:rPr>
                <w:rFonts w:ascii="Tempora LGC Uni" w:hAnsi="Tempora LGC Uni" w:cs="Tempora LGC Uni"/>
                <w:color w:val="000000"/>
                <w:spacing w:val="-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0" w:right="0"/>
              <w:jc w:val="both"/>
              <w:spacing w:before="0" w:beforeAutospacing="0" w:after="0" w:afterAutospacing="0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color w:val="000000"/>
                <w:spacing w:val="-4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pacing w:val="-4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cs="Tempora LGC Uni"/>
                <w:color w:val="000000"/>
                <w:spacing w:val="-4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color w:val="000000"/>
                <w:spacing w:val="-4"/>
                <w:sz w:val="20"/>
                <w:szCs w:val="20"/>
              </w:rPr>
            </w:r>
          </w:p>
          <w:tbl>
            <w:tblPr>
              <w:tblW w:w="9356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25"/>
              <w:gridCol w:w="2231"/>
            </w:tblGrid>
            <w:tr>
              <w:tblPrEx/>
              <w:trPr>
                <w:jc w:val="center"/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125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both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pacing w:val="-4"/>
                      <w:sz w:val="20"/>
                      <w:szCs w:val="20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31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center"/>
                    <w:spacing w:before="0" w:beforeAutospacing="0" w:after="0" w:afterAutospacing="0"/>
                    <w:tabs>
                      <w:tab w:val="left" w:pos="34" w:leader="none"/>
                      <w:tab w:val="left" w:pos="426" w:leader="none"/>
                    </w:tabs>
                    <w:rPr>
                      <w:rFonts w:ascii="Tempora LGC Uni" w:hAnsi="Tempora LGC Uni" w:cs="Tempora LGC Uni"/>
                      <w:i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i/>
                      <w:color w:val="000000"/>
                      <w:spacing w:val="-4"/>
                      <w:sz w:val="20"/>
                      <w:szCs w:val="20"/>
                    </w:rPr>
                    <w:t xml:space="preserve">(тыс.руб.)</w:t>
                  </w:r>
                  <w:r>
                    <w:rPr>
                      <w:rFonts w:ascii="Tempora LGC Uni" w:hAnsi="Tempora LGC Uni" w:cs="Tempora LGC Uni"/>
                      <w:i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i/>
                      <w:color w:val="000000"/>
                      <w:spacing w:val="-4"/>
                      <w:szCs w:val="24"/>
                    </w:rPr>
                  </w:r>
                </w:p>
              </w:tc>
            </w:tr>
            <w:tr>
              <w:tblPrEx/>
              <w:trPr>
                <w:jc w:val="center"/>
                <w:trHeight w:val="32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125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pacing w:val="-4"/>
                      <w:sz w:val="20"/>
                      <w:szCs w:val="20"/>
                    </w:rPr>
                    <w:t xml:space="preserve">Нераспределенная прибыль (убыток) отчетного периода: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31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rPr>
                      <w:rFonts w:ascii="Tempora LGC Uni" w:hAnsi="Tempora LGC Uni" w:cs="Tempora LGC Uni"/>
                      <w:color w:val="000000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z w:val="20"/>
                      <w:szCs w:val="20"/>
                    </w:rPr>
                    <w:t xml:space="preserve">10 929 681                                                                                                           </w:t>
                  </w:r>
                  <w:r>
                    <w:rPr>
                      <w:rFonts w:ascii="Tempora LGC Uni" w:hAnsi="Tempora LGC Uni" w:cs="Tempora LGC Uni"/>
                      <w:color w:val="000000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zCs w:val="24"/>
                    </w:rPr>
                  </w:r>
                </w:p>
              </w:tc>
            </w:tr>
            <w:tr>
              <w:tblPrEx/>
              <w:trPr>
                <w:jc w:val="center"/>
                <w:trHeight w:val="20"/>
              </w:trPr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356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pacing w:val="-4"/>
                      <w:sz w:val="20"/>
                      <w:szCs w:val="20"/>
                    </w:rPr>
                    <w:t xml:space="preserve">                                                                                        в том числе: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</w:tr>
            <w:tr>
              <w:tblPrEx/>
              <w:trPr>
                <w:jc w:val="center"/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125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pacing w:val="-4"/>
                      <w:sz w:val="20"/>
                      <w:szCs w:val="20"/>
                    </w:rPr>
                    <w:t xml:space="preserve">-  резервный фонд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31" w:type="dxa"/>
                  <w:vAlign w:val="bottom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z w:val="20"/>
                      <w:szCs w:val="20"/>
                    </w:rPr>
                    <w:t xml:space="preserve">467 269 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</w:tr>
            <w:tr>
              <w:tblPrEx/>
              <w:trPr>
                <w:jc w:val="center"/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125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pacing w:val="-4"/>
                      <w:sz w:val="20"/>
                      <w:szCs w:val="20"/>
                    </w:rPr>
                    <w:t xml:space="preserve">- дивиденды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31" w:type="dxa"/>
                  <w:vAlign w:val="bottom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z w:val="20"/>
                      <w:szCs w:val="20"/>
                    </w:rPr>
                    <w:t xml:space="preserve">8 147 456 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</w:tr>
            <w:tr>
              <w:tblPrEx/>
              <w:trPr>
                <w:jc w:val="center"/>
                <w:trHeight w:val="2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125" w:type="dxa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pacing w:val="-4"/>
                      <w:sz w:val="20"/>
                      <w:szCs w:val="20"/>
                    </w:rPr>
                    <w:t xml:space="preserve">  - оставить в распоряжении ПАО «ОГК-2»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31" w:type="dxa"/>
                  <w:vAlign w:val="bottom"/>
                  <w:textDirection w:val="lrTb"/>
                  <w:noWrap w:val="false"/>
                </w:tcPr>
                <w:p>
                  <w:pPr>
                    <w:contextualSpacing/>
                    <w:ind w:left="0" w:right="0"/>
                    <w:jc w:val="right"/>
                    <w:spacing w:before="0" w:beforeAutospacing="0" w:after="0" w:afterAutospacing="0"/>
                    <w:tabs>
                      <w:tab w:val="left" w:pos="426" w:leader="none"/>
                      <w:tab w:val="left" w:pos="851" w:leader="none"/>
                    </w:tabs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  <w:suppressLineNumbers w:val="0"/>
                  </w:pPr>
                  <w:r>
                    <w:rPr>
                      <w:rFonts w:ascii="Tempora LGC Uni" w:hAnsi="Tempora LGC Uni" w:eastAsia="Tempora LGC Uni" w:cs="Tempora LGC Uni"/>
                      <w:color w:val="000000"/>
                      <w:sz w:val="20"/>
                      <w:szCs w:val="20"/>
                    </w:rPr>
                    <w:t xml:space="preserve">2 314 956 </w:t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  <w:r>
                    <w:rPr>
                      <w:rFonts w:ascii="Tempora LGC Uni" w:hAnsi="Tempora LGC Uni" w:cs="Tempora LGC Uni"/>
                      <w:color w:val="000000"/>
                      <w:spacing w:val="-4"/>
                      <w:szCs w:val="24"/>
                    </w:rPr>
                  </w:r>
                </w:p>
              </w:tc>
            </w:tr>
          </w:tbl>
          <w:p>
            <w:pPr>
              <w:contextualSpacing/>
              <w:ind w:left="0" w:right="0"/>
              <w:jc w:val="both"/>
              <w:spacing w:before="0" w:beforeAutospacing="0" w:after="0" w:afterAutospacing="0"/>
              <w:tabs>
                <w:tab w:val="left" w:pos="426" w:leader="none"/>
                <w:tab w:val="left" w:pos="851" w:leader="none"/>
                <w:tab w:val="left" w:pos="1276" w:leader="none"/>
              </w:tabs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</w:rPr>
              <w:t xml:space="preserve">2. Рекомендовать Общему собранию акционеров Общества принять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</w:rPr>
              <w:t xml:space="preserve"> решение о выплате дивидендов по обыкновенным акциям Общества по результатам 2024 года в размере 0,0598167018 рубля на одну обыкновенную акцию Общества в денежной форме в порядке и в сроки, установленные действующим законодательством Российской Федерации. 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</w:p>
          <w:p>
            <w:pPr>
              <w:pStyle w:val="1_639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</w:rPr>
              <w:t xml:space="preserve">3. </w:t>
            </w:r>
            <w:r>
              <w:rPr>
                <w:rFonts w:ascii="Tempora LGC Uni" w:hAnsi="Tempora LGC Uni" w:eastAsia="Tempora LGC Uni" w:cs="Tempora LGC Uni"/>
                <w:bCs/>
                <w:spacing w:val="-4"/>
                <w:sz w:val="20"/>
                <w:szCs w:val="20"/>
              </w:rPr>
              <w:t xml:space="preserve">Рекомендовать Общему собранию акционеров Общества определить дату составления списка лиц, имеющих право на получение дивидендов по обыкновенным акциям Общества по результатам 2024</w:t>
            </w:r>
            <w:r>
              <w:rPr>
                <w:rFonts w:ascii="Tempora LGC Uni" w:hAnsi="Tempora LGC Uni" w:eastAsia="Tempora LGC Uni" w:cs="Tempora LGC Uni"/>
                <w:bCs/>
                <w:spacing w:val="-4"/>
                <w:sz w:val="20"/>
                <w:szCs w:val="20"/>
              </w:rPr>
              <w:t xml:space="preserve"> </w:t>
            </w:r>
            <w:r>
              <w:rPr>
                <w:rFonts w:ascii="Tempora LGC Uni" w:hAnsi="Tempora LGC Uni" w:eastAsia="Tempora LGC Uni" w:cs="Tempora LGC Uni"/>
                <w:bCs/>
                <w:spacing w:val="-4"/>
                <w:sz w:val="20"/>
                <w:szCs w:val="20"/>
              </w:rPr>
              <w:t xml:space="preserve">года - 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</w:rPr>
              <w:t xml:space="preserve">05 ноября 2025 года</w:t>
            </w:r>
            <w:r>
              <w:rPr>
                <w:rFonts w:ascii="Tempora LGC Uni" w:hAnsi="Tempora LGC Uni" w:eastAsia="Tempora LGC Uni" w:cs="Tempora LGC Uni"/>
                <w:bCs/>
                <w:spacing w:val="-4"/>
                <w:sz w:val="20"/>
                <w:szCs w:val="20"/>
              </w:rPr>
              <w:t xml:space="preserve"> (на конец операционного дня)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</w:r>
          </w:p>
          <w:p>
            <w:pPr>
              <w:pStyle w:val="1_639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pacing w:val="-4"/>
                <w:sz w:val="20"/>
                <w:szCs w:val="20"/>
                <w:highlight w:val="none"/>
              </w:rPr>
              <w:t xml:space="preserve">2.3.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дентификационные признаки ценных бумаг (акций, владельцы которых имеют право на участие в общем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  <w:lang w:eastAsia="ru-RU"/>
              </w:rPr>
              <w:t xml:space="preserve"> собрании акционеров эмитента):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акции обыкновенные, государственный регистрационный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номер 1-02-65105-D от 19.04.2007, международный код (номер) идентификации ценных бумаг (ISIN): RU000A0JNG55, международный код классификации финансовых инструментов (CFI): ESVXFR.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2.4. Дата проведения заседания совета директоров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 12.09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.2025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contextualSpacing/>
              <w:ind w:left="0" w:right="0"/>
              <w:jc w:val="both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2.5</w:t>
            </w: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ротокол от 12.09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.2025 № 359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contextualSpacing/>
        <w:ind w:left="0" w:right="0"/>
        <w:spacing w:before="0" w:beforeAutospacing="0" w:after="0" w:afterAutospacing="0"/>
        <w:tabs>
          <w:tab w:val="left" w:pos="2895" w:leader="none"/>
        </w:tabs>
        <w:rPr>
          <w:rFonts w:ascii="Tempora LGC Uni" w:hAnsi="Tempora LGC Uni" w:cs="Tempora LGC Uni"/>
          <w:sz w:val="20"/>
          <w:szCs w:val="20"/>
        </w:rPr>
        <w:suppressLineNumbers w:val="0"/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06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25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3" w:type="dxa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620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pStyle w:val="620"/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07.06.2022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right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right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bCs/>
                <w:sz w:val="20"/>
                <w:szCs w:val="20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54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b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254" w:type="dxa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15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сентября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right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20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25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jc w:val="center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788" w:type="dxa"/>
            <w:vAlign w:val="bottom"/>
            <w:textDirection w:val="lrTb"/>
            <w:noWrap w:val="false"/>
          </w:tcPr>
          <w:p>
            <w:pPr>
              <w:contextualSpacing/>
              <w:ind w:left="0" w:right="0"/>
              <w:spacing w:before="0" w:beforeAutospacing="0" w:after="0" w:afterAutospacing="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38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paragraph" w:styleId="1_636" w:customStyle="1">
    <w:name w:val="Body Text"/>
    <w:basedOn w:val="786"/>
    <w:link w:val="98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9" w:customStyle="1">
    <w:name w:val="Абзац 3"/>
    <w:basedOn w:val="786"/>
    <w: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shishova.ekaterina</cp:lastModifiedBy>
  <cp:revision>1</cp:revision>
  <dcterms:modified xsi:type="dcterms:W3CDTF">2025-09-15T15:18:54Z</dcterms:modified>
</cp:coreProperties>
</file>